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47E39" w14:textId="3C370CA6" w:rsidR="00E203C2" w:rsidRDefault="00E203C2" w:rsidP="00E203C2">
      <w:r>
        <w:rPr>
          <w:noProof/>
          <w:lang w:eastAsia="en-GB" w:bidi="ar-SA"/>
        </w:rPr>
        <w:drawing>
          <wp:inline distT="0" distB="0" distL="0" distR="0" wp14:anchorId="4DD2A6C4" wp14:editId="26ED1852">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58EB21DA" w14:textId="77777777" w:rsidR="00E203C2" w:rsidRDefault="00E203C2" w:rsidP="00E203C2"/>
    <w:p w14:paraId="4F7E9D88" w14:textId="6C281DCC" w:rsidR="00BA24E2" w:rsidRPr="00B24349" w:rsidRDefault="00B24349" w:rsidP="00BA24E2">
      <w:pPr>
        <w:rPr>
          <w:b/>
          <w:sz w:val="28"/>
          <w:szCs w:val="28"/>
        </w:rPr>
      </w:pPr>
      <w:r w:rsidRPr="00B24349">
        <w:rPr>
          <w:b/>
          <w:sz w:val="28"/>
          <w:szCs w:val="28"/>
        </w:rPr>
        <w:t>9</w:t>
      </w:r>
      <w:r w:rsidR="00BA24E2" w:rsidRPr="00B24349">
        <w:rPr>
          <w:b/>
          <w:sz w:val="28"/>
          <w:szCs w:val="28"/>
        </w:rPr>
        <w:t xml:space="preserve"> </w:t>
      </w:r>
      <w:r w:rsidR="000D2D54" w:rsidRPr="00B24349">
        <w:rPr>
          <w:b/>
          <w:sz w:val="28"/>
          <w:szCs w:val="28"/>
        </w:rPr>
        <w:t>October</w:t>
      </w:r>
      <w:r w:rsidR="00BF23A7" w:rsidRPr="00B24349">
        <w:rPr>
          <w:b/>
          <w:sz w:val="28"/>
          <w:szCs w:val="28"/>
        </w:rPr>
        <w:t xml:space="preserve"> 2018</w:t>
      </w:r>
    </w:p>
    <w:p w14:paraId="476E557B" w14:textId="68496AA3" w:rsidR="00BA24E2" w:rsidRPr="00B24349" w:rsidRDefault="00B24349" w:rsidP="00BA24E2">
      <w:pPr>
        <w:rPr>
          <w:b/>
          <w:sz w:val="28"/>
          <w:szCs w:val="28"/>
        </w:rPr>
      </w:pPr>
      <w:r w:rsidRPr="00B24349">
        <w:rPr>
          <w:b/>
          <w:sz w:val="28"/>
          <w:szCs w:val="28"/>
        </w:rPr>
        <w:t>[60</w:t>
      </w:r>
      <w:r w:rsidR="00CA7F35" w:rsidRPr="00B24349">
        <w:rPr>
          <w:b/>
          <w:sz w:val="28"/>
          <w:szCs w:val="28"/>
        </w:rPr>
        <w:t>–</w:t>
      </w:r>
      <w:r w:rsidR="00BA24E2" w:rsidRPr="00B24349">
        <w:rPr>
          <w:b/>
          <w:sz w:val="28"/>
          <w:szCs w:val="28"/>
        </w:rPr>
        <w:t>1</w:t>
      </w:r>
      <w:r w:rsidRPr="00B24349">
        <w:rPr>
          <w:b/>
          <w:sz w:val="28"/>
          <w:szCs w:val="28"/>
        </w:rPr>
        <w:t>8</w:t>
      </w:r>
      <w:r w:rsidR="00BA24E2" w:rsidRPr="00B24349">
        <w:rPr>
          <w:b/>
          <w:sz w:val="28"/>
          <w:szCs w:val="28"/>
        </w:rPr>
        <w:t>]</w:t>
      </w:r>
    </w:p>
    <w:p w14:paraId="6ED218D0" w14:textId="77777777" w:rsidR="00BA24E2" w:rsidRDefault="00BA24E2" w:rsidP="00E203C2"/>
    <w:p w14:paraId="0D0EC832" w14:textId="073B1912" w:rsidR="00D056F1" w:rsidRPr="00435D35"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435D35">
        <w:rPr>
          <w:b/>
        </w:rPr>
        <w:t>A</w:t>
      </w:r>
      <w:r w:rsidR="00A91DF1" w:rsidRPr="00435D35">
        <w:rPr>
          <w:b/>
        </w:rPr>
        <w:t>pplication</w:t>
      </w:r>
      <w:r w:rsidR="00D056F1" w:rsidRPr="00435D35">
        <w:rPr>
          <w:b/>
        </w:rPr>
        <w:t xml:space="preserve"> A</w:t>
      </w:r>
      <w:r w:rsidR="00BF23A7" w:rsidRPr="00435D35">
        <w:rPr>
          <w:b/>
        </w:rPr>
        <w:t>1149</w:t>
      </w:r>
    </w:p>
    <w:p w14:paraId="52B3BDDF" w14:textId="575086DB" w:rsidR="00D056F1" w:rsidRPr="00435D35" w:rsidRDefault="00BF23A7" w:rsidP="002432EE">
      <w:pPr>
        <w:pStyle w:val="FSTitle"/>
      </w:pPr>
      <w:r w:rsidRPr="00435D35">
        <w:t xml:space="preserve">Addition of steviol glycosides </w:t>
      </w:r>
      <w:r w:rsidR="00C24B09">
        <w:t>to</w:t>
      </w:r>
      <w:r w:rsidR="00C24B09" w:rsidRPr="00435D35">
        <w:t xml:space="preserve"> </w:t>
      </w:r>
      <w:r w:rsidRPr="00435D35">
        <w:t>fruit drinks</w:t>
      </w:r>
    </w:p>
    <w:p w14:paraId="5487EDB3" w14:textId="77777777" w:rsidR="00E203C2" w:rsidRPr="00E81F6E" w:rsidRDefault="00E203C2" w:rsidP="00E203C2">
      <w:pPr>
        <w:pBdr>
          <w:bottom w:val="single" w:sz="12" w:space="1" w:color="auto"/>
        </w:pBdr>
        <w:spacing w:line="280" w:lineRule="exact"/>
        <w:rPr>
          <w:rFonts w:cs="Arial"/>
          <w:bCs/>
        </w:rPr>
      </w:pPr>
    </w:p>
    <w:p w14:paraId="6BE73202" w14:textId="77777777" w:rsidR="006E37E1" w:rsidRDefault="006E37E1" w:rsidP="00E203C2">
      <w:pPr>
        <w:rPr>
          <w:sz w:val="20"/>
          <w:szCs w:val="20"/>
        </w:rPr>
      </w:pPr>
    </w:p>
    <w:p w14:paraId="6A416B41" w14:textId="688792B8" w:rsidR="00E063C6" w:rsidRPr="00513585" w:rsidRDefault="00E063C6" w:rsidP="00E203C2">
      <w:pPr>
        <w:rPr>
          <w:sz w:val="20"/>
          <w:szCs w:val="20"/>
        </w:rPr>
      </w:pPr>
      <w:r w:rsidRPr="00513585">
        <w:rPr>
          <w:sz w:val="20"/>
          <w:szCs w:val="20"/>
        </w:rPr>
        <w:t xml:space="preserve">FSANZ </w:t>
      </w:r>
      <w:r w:rsidR="00D81D38" w:rsidRPr="00513585">
        <w:rPr>
          <w:sz w:val="20"/>
          <w:szCs w:val="20"/>
        </w:rPr>
        <w:t xml:space="preserve">has assessed an </w:t>
      </w:r>
      <w:r w:rsidR="002F2B72">
        <w:rPr>
          <w:sz w:val="20"/>
          <w:szCs w:val="20"/>
        </w:rPr>
        <w:t>a</w:t>
      </w:r>
      <w:r w:rsidR="00351B07" w:rsidRPr="00513585">
        <w:rPr>
          <w:sz w:val="20"/>
          <w:szCs w:val="20"/>
        </w:rPr>
        <w:t xml:space="preserve">pplication </w:t>
      </w:r>
      <w:r w:rsidR="004B73A9">
        <w:rPr>
          <w:sz w:val="20"/>
          <w:szCs w:val="20"/>
        </w:rPr>
        <w:t>from</w:t>
      </w:r>
      <w:r w:rsidR="00351B07" w:rsidRPr="00513585">
        <w:rPr>
          <w:sz w:val="20"/>
          <w:szCs w:val="20"/>
        </w:rPr>
        <w:t xml:space="preserve"> </w:t>
      </w:r>
      <w:r w:rsidR="002F2B72">
        <w:rPr>
          <w:sz w:val="20"/>
          <w:szCs w:val="20"/>
        </w:rPr>
        <w:t xml:space="preserve">the </w:t>
      </w:r>
      <w:r w:rsidR="00BF23A7" w:rsidRPr="00513585">
        <w:rPr>
          <w:sz w:val="20"/>
          <w:szCs w:val="20"/>
        </w:rPr>
        <w:t>Australian Beverages Council Ltd (ABCL)</w:t>
      </w:r>
      <w:r w:rsidR="00351B07" w:rsidRPr="00513585">
        <w:rPr>
          <w:sz w:val="20"/>
          <w:szCs w:val="20"/>
        </w:rPr>
        <w:t xml:space="preserve"> </w:t>
      </w:r>
      <w:r w:rsidR="007C174F" w:rsidRPr="00513585">
        <w:rPr>
          <w:sz w:val="20"/>
          <w:szCs w:val="20"/>
        </w:rPr>
        <w:t>to</w:t>
      </w:r>
      <w:r w:rsidR="00351B07" w:rsidRPr="00513585">
        <w:rPr>
          <w:sz w:val="20"/>
          <w:szCs w:val="20"/>
        </w:rPr>
        <w:t xml:space="preserve"> </w:t>
      </w:r>
      <w:r w:rsidR="00BF23A7" w:rsidRPr="00513585">
        <w:rPr>
          <w:sz w:val="20"/>
          <w:szCs w:val="20"/>
        </w:rPr>
        <w:t xml:space="preserve">permit the addition of steviol </w:t>
      </w:r>
      <w:r w:rsidR="00513585" w:rsidRPr="00513585">
        <w:rPr>
          <w:sz w:val="20"/>
          <w:szCs w:val="20"/>
        </w:rPr>
        <w:t xml:space="preserve">glycosides </w:t>
      </w:r>
      <w:r w:rsidR="0045439F">
        <w:rPr>
          <w:sz w:val="20"/>
          <w:szCs w:val="20"/>
        </w:rPr>
        <w:t>to</w:t>
      </w:r>
      <w:r w:rsidR="0045439F" w:rsidRPr="00513585">
        <w:rPr>
          <w:sz w:val="20"/>
          <w:szCs w:val="20"/>
        </w:rPr>
        <w:t xml:space="preserve"> </w:t>
      </w:r>
      <w:r w:rsidR="00BF23A7" w:rsidRPr="00513585">
        <w:rPr>
          <w:sz w:val="20"/>
          <w:szCs w:val="20"/>
        </w:rPr>
        <w:t>fruit drinks at a maximum permitted level of 200 mg/</w:t>
      </w:r>
      <w:r w:rsidR="00EE579E">
        <w:rPr>
          <w:sz w:val="20"/>
          <w:szCs w:val="20"/>
        </w:rPr>
        <w:t>k</w:t>
      </w:r>
      <w:r w:rsidR="00BF23A7" w:rsidRPr="00513585">
        <w:rPr>
          <w:sz w:val="20"/>
          <w:szCs w:val="20"/>
        </w:rPr>
        <w:t>g steviol equivalents</w:t>
      </w:r>
      <w:r w:rsidR="00435D35" w:rsidRPr="00513585">
        <w:rPr>
          <w:sz w:val="20"/>
          <w:szCs w:val="20"/>
        </w:rPr>
        <w:t>. FSANZ</w:t>
      </w:r>
      <w:r w:rsidR="00BF23A7" w:rsidRPr="00513585">
        <w:rPr>
          <w:sz w:val="20"/>
          <w:szCs w:val="20"/>
        </w:rPr>
        <w:t xml:space="preserve"> </w:t>
      </w:r>
      <w:r w:rsidR="00413CA8" w:rsidRPr="00513585">
        <w:rPr>
          <w:sz w:val="20"/>
          <w:szCs w:val="20"/>
        </w:rPr>
        <w:t xml:space="preserve">has prepared a draft </w:t>
      </w:r>
      <w:r w:rsidR="00D8470F" w:rsidRPr="00513585">
        <w:rPr>
          <w:sz w:val="20"/>
          <w:szCs w:val="20"/>
        </w:rPr>
        <w:t>food regulatory measure</w:t>
      </w:r>
      <w:r w:rsidR="00351B07" w:rsidRPr="00513585">
        <w:rPr>
          <w:sz w:val="20"/>
          <w:szCs w:val="20"/>
        </w:rPr>
        <w:t xml:space="preserve">. </w:t>
      </w:r>
      <w:r w:rsidR="00D22F3C" w:rsidRPr="00513585">
        <w:rPr>
          <w:sz w:val="20"/>
          <w:szCs w:val="20"/>
        </w:rPr>
        <w:t xml:space="preserve">Pursuant to section 31 of the </w:t>
      </w:r>
      <w:r w:rsidR="00D22F3C" w:rsidRPr="00513585">
        <w:rPr>
          <w:i/>
          <w:sz w:val="20"/>
          <w:szCs w:val="20"/>
        </w:rPr>
        <w:t>Food Standard</w:t>
      </w:r>
      <w:r w:rsidR="00E203C2" w:rsidRPr="00513585">
        <w:rPr>
          <w:i/>
          <w:sz w:val="20"/>
          <w:szCs w:val="20"/>
        </w:rPr>
        <w:t>s Australia New Zealand Act 1991</w:t>
      </w:r>
      <w:r w:rsidR="00D22F3C" w:rsidRPr="00513585">
        <w:rPr>
          <w:i/>
          <w:sz w:val="20"/>
          <w:szCs w:val="20"/>
        </w:rPr>
        <w:t xml:space="preserve"> </w:t>
      </w:r>
      <w:r w:rsidR="00E203C2" w:rsidRPr="00513585">
        <w:rPr>
          <w:sz w:val="20"/>
          <w:szCs w:val="20"/>
        </w:rPr>
        <w:t>(</w:t>
      </w:r>
      <w:r w:rsidR="00D22F3C" w:rsidRPr="00513585">
        <w:rPr>
          <w:sz w:val="20"/>
          <w:szCs w:val="20"/>
        </w:rPr>
        <w:t>FSANZ Act), FSANZ now c</w:t>
      </w:r>
      <w:r w:rsidR="00E203C2" w:rsidRPr="00513585">
        <w:rPr>
          <w:sz w:val="20"/>
          <w:szCs w:val="20"/>
        </w:rPr>
        <w:t xml:space="preserve">alls for submissions to assist consideration of the </w:t>
      </w:r>
      <w:r w:rsidR="00413CA8" w:rsidRPr="00513585">
        <w:rPr>
          <w:sz w:val="20"/>
          <w:szCs w:val="20"/>
        </w:rPr>
        <w:t xml:space="preserve">draft </w:t>
      </w:r>
      <w:r w:rsidR="00D8470F" w:rsidRPr="00513585">
        <w:rPr>
          <w:sz w:val="20"/>
          <w:szCs w:val="20"/>
        </w:rPr>
        <w:t>food regulatory measure</w:t>
      </w:r>
      <w:r w:rsidR="00D22F3C" w:rsidRPr="00513585">
        <w:rPr>
          <w:sz w:val="20"/>
          <w:szCs w:val="20"/>
        </w:rPr>
        <w:t>.</w:t>
      </w:r>
    </w:p>
    <w:p w14:paraId="02F20F55" w14:textId="1FAAECEA" w:rsidR="00413CA8" w:rsidRPr="00513585" w:rsidRDefault="00413CA8" w:rsidP="00E203C2">
      <w:pPr>
        <w:rPr>
          <w:sz w:val="20"/>
          <w:szCs w:val="20"/>
        </w:rPr>
      </w:pPr>
    </w:p>
    <w:p w14:paraId="1B42D92B"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6E91FD52" w14:textId="77777777" w:rsidR="00D81D38" w:rsidRPr="00276026" w:rsidRDefault="00D81D38" w:rsidP="00276026">
      <w:pPr>
        <w:rPr>
          <w:sz w:val="20"/>
          <w:szCs w:val="20"/>
        </w:rPr>
      </w:pPr>
    </w:p>
    <w:p w14:paraId="71B01431" w14:textId="2A8330F1"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0B03A11A" w14:textId="77777777" w:rsidR="00876515" w:rsidRPr="00276026" w:rsidRDefault="00876515" w:rsidP="00276026">
      <w:pPr>
        <w:rPr>
          <w:color w:val="000000"/>
          <w:sz w:val="20"/>
          <w:szCs w:val="20"/>
          <w:lang w:val="en-AU"/>
        </w:rPr>
      </w:pPr>
    </w:p>
    <w:p w14:paraId="25481B51"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A4CC718" w14:textId="77777777" w:rsidR="00E203C2" w:rsidRPr="007C174F" w:rsidRDefault="00E203C2" w:rsidP="00E203C2">
      <w:pPr>
        <w:rPr>
          <w:color w:val="000000"/>
          <w:sz w:val="20"/>
          <w:szCs w:val="20"/>
          <w:lang w:val="en-AU"/>
        </w:rPr>
      </w:pPr>
    </w:p>
    <w:p w14:paraId="4E7EC74C" w14:textId="099A631C"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 xml:space="preserve">with the word ‘Submission’ and quote the </w:t>
      </w:r>
      <w:r w:rsidR="00435D35">
        <w:rPr>
          <w:color w:val="000000"/>
          <w:sz w:val="20"/>
          <w:szCs w:val="20"/>
          <w:lang w:val="en-AU"/>
        </w:rPr>
        <w:t>application</w:t>
      </w:r>
      <w:r w:rsidRPr="007C174F">
        <w:rPr>
          <w:color w:val="000000"/>
          <w:sz w:val="20"/>
          <w:szCs w:val="20"/>
          <w:lang w:val="en-AU"/>
        </w:rPr>
        <w:t xml:space="preserve">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w:t>
      </w:r>
      <w:r w:rsidR="00435D35">
        <w:rPr>
          <w:color w:val="000000"/>
          <w:sz w:val="20"/>
          <w:szCs w:val="20"/>
          <w:lang w:val="en-AU"/>
        </w:rPr>
        <w:t xml:space="preserve">ail your submission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70B097CE" w14:textId="77777777" w:rsidR="00E203C2" w:rsidRPr="007C174F" w:rsidRDefault="00E203C2" w:rsidP="00E203C2">
      <w:pPr>
        <w:rPr>
          <w:color w:val="000000"/>
          <w:sz w:val="20"/>
          <w:szCs w:val="20"/>
          <w:lang w:val="en-AU"/>
        </w:rPr>
      </w:pPr>
    </w:p>
    <w:p w14:paraId="41BCBAF0"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5C61D5" w14:textId="77777777" w:rsidR="00E203C2" w:rsidRPr="00D676CF" w:rsidRDefault="00E203C2" w:rsidP="00E203C2">
      <w:pPr>
        <w:rPr>
          <w:color w:val="000000"/>
          <w:sz w:val="20"/>
          <w:lang w:val="en-AU"/>
        </w:rPr>
      </w:pPr>
    </w:p>
    <w:p w14:paraId="744CDA1E" w14:textId="3B8B8DC4" w:rsidR="00E203C2" w:rsidRPr="00435D35" w:rsidRDefault="00E063C6" w:rsidP="00435D35">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B24349" w:rsidRPr="00B24349">
        <w:rPr>
          <w:rFonts w:cs="Arial"/>
          <w:b/>
          <w:bCs/>
          <w:sz w:val="24"/>
        </w:rPr>
        <w:t>6 November 2018</w:t>
      </w:r>
      <w:bookmarkStart w:id="0" w:name="_GoBack"/>
      <w:bookmarkEnd w:id="0"/>
    </w:p>
    <w:p w14:paraId="4358ADF4"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3C1649A0" w14:textId="77777777" w:rsidR="00E203C2" w:rsidRPr="007C174F" w:rsidRDefault="00E203C2" w:rsidP="00E203C2">
      <w:pPr>
        <w:rPr>
          <w:sz w:val="20"/>
          <w:szCs w:val="20"/>
          <w:lang w:val="en-AU"/>
        </w:rPr>
      </w:pPr>
    </w:p>
    <w:p w14:paraId="3E134CC0"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0574427C" w14:textId="77777777" w:rsidR="00E203C2" w:rsidRPr="003A7725" w:rsidRDefault="00E203C2" w:rsidP="003A7725">
      <w:pPr>
        <w:rPr>
          <w:sz w:val="20"/>
          <w:lang w:val="en-AU"/>
        </w:rPr>
      </w:pPr>
    </w:p>
    <w:p w14:paraId="582755A1"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20E23035" w14:textId="2363C1AF"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20601BED" w14:textId="77777777" w:rsidR="00E203C2" w:rsidRPr="007C174F" w:rsidRDefault="00E063C6" w:rsidP="00E203C2">
      <w:pPr>
        <w:tabs>
          <w:tab w:val="left" w:pos="4536"/>
        </w:tabs>
        <w:rPr>
          <w:sz w:val="20"/>
          <w:szCs w:val="20"/>
        </w:rPr>
      </w:pPr>
      <w:r w:rsidRPr="007C174F">
        <w:rPr>
          <w:sz w:val="20"/>
          <w:szCs w:val="20"/>
        </w:rPr>
        <w:lastRenderedPageBreak/>
        <w:t xml:space="preserve">PO Box </w:t>
      </w:r>
      <w:r w:rsidR="00685269">
        <w:rPr>
          <w:sz w:val="20"/>
          <w:szCs w:val="20"/>
        </w:rPr>
        <w:t>5423</w:t>
      </w:r>
      <w:r w:rsidRPr="007C174F">
        <w:rPr>
          <w:sz w:val="20"/>
          <w:szCs w:val="20"/>
        </w:rPr>
        <w:tab/>
      </w:r>
      <w:r w:rsidRPr="007C174F">
        <w:rPr>
          <w:sz w:val="20"/>
          <w:szCs w:val="20"/>
        </w:rPr>
        <w:tab/>
        <w:t>PO Box 10559</w:t>
      </w:r>
    </w:p>
    <w:p w14:paraId="221C0F31"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297F9834"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1EFECEB8"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304D3BCA" w14:textId="77777777" w:rsidR="00D22F3C" w:rsidRPr="007C174F" w:rsidRDefault="00D22F3C" w:rsidP="00203540">
      <w:pPr>
        <w:tabs>
          <w:tab w:val="left" w:pos="4536"/>
        </w:tabs>
        <w:rPr>
          <w:rFonts w:cs="Arial"/>
          <w:bCs/>
          <w:color w:val="FF0000"/>
          <w:sz w:val="20"/>
          <w:szCs w:val="20"/>
        </w:rPr>
      </w:pPr>
    </w:p>
    <w:p w14:paraId="0E4979F4" w14:textId="77777777" w:rsidR="0005254E" w:rsidRDefault="0005254E" w:rsidP="00E40ED4">
      <w:pPr>
        <w:jc w:val="center"/>
        <w:rPr>
          <w:sz w:val="28"/>
          <w:szCs w:val="28"/>
        </w:rPr>
      </w:pPr>
    </w:p>
    <w:p w14:paraId="1C1DD391" w14:textId="77777777" w:rsidR="0005254E" w:rsidRDefault="0005254E" w:rsidP="00E40ED4">
      <w:pPr>
        <w:jc w:val="center"/>
        <w:rPr>
          <w:sz w:val="28"/>
          <w:szCs w:val="28"/>
        </w:rPr>
      </w:pPr>
    </w:p>
    <w:p w14:paraId="56FC0D56" w14:textId="328464DA" w:rsidR="00562917" w:rsidRPr="00646FDD" w:rsidRDefault="00562917" w:rsidP="00E40ED4">
      <w:pPr>
        <w:jc w:val="center"/>
        <w:rPr>
          <w:sz w:val="28"/>
          <w:szCs w:val="28"/>
        </w:rPr>
      </w:pPr>
      <w:r w:rsidRPr="00646FDD">
        <w:rPr>
          <w:sz w:val="28"/>
          <w:szCs w:val="28"/>
        </w:rPr>
        <w:t xml:space="preserve">Table of </w:t>
      </w:r>
      <w:r w:rsidR="000C412C">
        <w:rPr>
          <w:sz w:val="28"/>
          <w:szCs w:val="28"/>
        </w:rPr>
        <w:t>c</w:t>
      </w:r>
      <w:r w:rsidRPr="00646FDD">
        <w:rPr>
          <w:sz w:val="28"/>
          <w:szCs w:val="28"/>
        </w:rPr>
        <w:t>ontents</w:t>
      </w:r>
    </w:p>
    <w:p w14:paraId="1E986E5E" w14:textId="77777777" w:rsidR="00562917" w:rsidRPr="00AE766D" w:rsidRDefault="00562917" w:rsidP="00051ED9">
      <w:pPr>
        <w:rPr>
          <w:rFonts w:cs="Arial"/>
        </w:rPr>
      </w:pPr>
    </w:p>
    <w:p w14:paraId="0FBA4A8D" w14:textId="7A0B8603" w:rsidR="005324ED"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26338039" w:history="1">
        <w:r w:rsidR="005324ED" w:rsidRPr="00690948">
          <w:rPr>
            <w:rStyle w:val="Hyperlink"/>
            <w:noProof/>
          </w:rPr>
          <w:t>Executive summary</w:t>
        </w:r>
        <w:r w:rsidR="005324ED">
          <w:rPr>
            <w:noProof/>
            <w:webHidden/>
          </w:rPr>
          <w:tab/>
        </w:r>
        <w:r w:rsidR="005324ED">
          <w:rPr>
            <w:noProof/>
            <w:webHidden/>
          </w:rPr>
          <w:fldChar w:fldCharType="begin"/>
        </w:r>
        <w:r w:rsidR="005324ED">
          <w:rPr>
            <w:noProof/>
            <w:webHidden/>
          </w:rPr>
          <w:instrText xml:space="preserve"> PAGEREF _Toc526338039 \h </w:instrText>
        </w:r>
        <w:r w:rsidR="005324ED">
          <w:rPr>
            <w:noProof/>
            <w:webHidden/>
          </w:rPr>
        </w:r>
        <w:r w:rsidR="005324ED">
          <w:rPr>
            <w:noProof/>
            <w:webHidden/>
          </w:rPr>
          <w:fldChar w:fldCharType="separate"/>
        </w:r>
        <w:r w:rsidR="00150432">
          <w:rPr>
            <w:noProof/>
            <w:webHidden/>
          </w:rPr>
          <w:t>3</w:t>
        </w:r>
        <w:r w:rsidR="005324ED">
          <w:rPr>
            <w:noProof/>
            <w:webHidden/>
          </w:rPr>
          <w:fldChar w:fldCharType="end"/>
        </w:r>
      </w:hyperlink>
    </w:p>
    <w:p w14:paraId="78CAB798" w14:textId="3D68C799" w:rsidR="005324ED" w:rsidRDefault="00B24349">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338040" w:history="1">
        <w:r w:rsidR="005324ED" w:rsidRPr="00690948">
          <w:rPr>
            <w:rStyle w:val="Hyperlink"/>
            <w:noProof/>
          </w:rPr>
          <w:t>1</w:t>
        </w:r>
        <w:r w:rsidR="005324ED">
          <w:rPr>
            <w:rFonts w:eastAsiaTheme="minorEastAsia" w:cstheme="minorBidi"/>
            <w:b w:val="0"/>
            <w:bCs w:val="0"/>
            <w:caps w:val="0"/>
            <w:noProof/>
            <w:sz w:val="22"/>
            <w:szCs w:val="22"/>
            <w:lang w:eastAsia="en-GB" w:bidi="ar-SA"/>
          </w:rPr>
          <w:tab/>
        </w:r>
        <w:r w:rsidR="005324ED" w:rsidRPr="00690948">
          <w:rPr>
            <w:rStyle w:val="Hyperlink"/>
            <w:noProof/>
          </w:rPr>
          <w:t>Introduction</w:t>
        </w:r>
        <w:r w:rsidR="005324ED">
          <w:rPr>
            <w:noProof/>
            <w:webHidden/>
          </w:rPr>
          <w:tab/>
        </w:r>
        <w:r w:rsidR="005324ED">
          <w:rPr>
            <w:noProof/>
            <w:webHidden/>
          </w:rPr>
          <w:fldChar w:fldCharType="begin"/>
        </w:r>
        <w:r w:rsidR="005324ED">
          <w:rPr>
            <w:noProof/>
            <w:webHidden/>
          </w:rPr>
          <w:instrText xml:space="preserve"> PAGEREF _Toc526338040 \h </w:instrText>
        </w:r>
        <w:r w:rsidR="005324ED">
          <w:rPr>
            <w:noProof/>
            <w:webHidden/>
          </w:rPr>
        </w:r>
        <w:r w:rsidR="005324ED">
          <w:rPr>
            <w:noProof/>
            <w:webHidden/>
          </w:rPr>
          <w:fldChar w:fldCharType="separate"/>
        </w:r>
        <w:r w:rsidR="00150432">
          <w:rPr>
            <w:noProof/>
            <w:webHidden/>
          </w:rPr>
          <w:t>4</w:t>
        </w:r>
        <w:r w:rsidR="005324ED">
          <w:rPr>
            <w:noProof/>
            <w:webHidden/>
          </w:rPr>
          <w:fldChar w:fldCharType="end"/>
        </w:r>
      </w:hyperlink>
    </w:p>
    <w:p w14:paraId="13F24126" w14:textId="4F0F8AD9" w:rsidR="005324ED" w:rsidRDefault="00B24349">
      <w:pPr>
        <w:pStyle w:val="TOC2"/>
        <w:tabs>
          <w:tab w:val="left" w:pos="880"/>
          <w:tab w:val="right" w:leader="dot" w:pos="9060"/>
        </w:tabs>
        <w:rPr>
          <w:rFonts w:eastAsiaTheme="minorEastAsia" w:cstheme="minorBidi"/>
          <w:smallCaps w:val="0"/>
          <w:noProof/>
          <w:sz w:val="22"/>
          <w:szCs w:val="22"/>
          <w:lang w:eastAsia="en-GB" w:bidi="ar-SA"/>
        </w:rPr>
      </w:pPr>
      <w:hyperlink w:anchor="_Toc526338041" w:history="1">
        <w:r w:rsidR="005324ED" w:rsidRPr="00690948">
          <w:rPr>
            <w:rStyle w:val="Hyperlink"/>
            <w:noProof/>
          </w:rPr>
          <w:t>1.1</w:t>
        </w:r>
        <w:r w:rsidR="005324ED">
          <w:rPr>
            <w:rFonts w:eastAsiaTheme="minorEastAsia" w:cstheme="minorBidi"/>
            <w:smallCaps w:val="0"/>
            <w:noProof/>
            <w:sz w:val="22"/>
            <w:szCs w:val="22"/>
            <w:lang w:eastAsia="en-GB" w:bidi="ar-SA"/>
          </w:rPr>
          <w:tab/>
        </w:r>
        <w:r w:rsidR="005324ED" w:rsidRPr="00690948">
          <w:rPr>
            <w:rStyle w:val="Hyperlink"/>
            <w:noProof/>
          </w:rPr>
          <w:t>The applicant</w:t>
        </w:r>
        <w:r w:rsidR="005324ED">
          <w:rPr>
            <w:noProof/>
            <w:webHidden/>
          </w:rPr>
          <w:tab/>
        </w:r>
        <w:r w:rsidR="005324ED">
          <w:rPr>
            <w:noProof/>
            <w:webHidden/>
          </w:rPr>
          <w:fldChar w:fldCharType="begin"/>
        </w:r>
        <w:r w:rsidR="005324ED">
          <w:rPr>
            <w:noProof/>
            <w:webHidden/>
          </w:rPr>
          <w:instrText xml:space="preserve"> PAGEREF _Toc526338041 \h </w:instrText>
        </w:r>
        <w:r w:rsidR="005324ED">
          <w:rPr>
            <w:noProof/>
            <w:webHidden/>
          </w:rPr>
        </w:r>
        <w:r w:rsidR="005324ED">
          <w:rPr>
            <w:noProof/>
            <w:webHidden/>
          </w:rPr>
          <w:fldChar w:fldCharType="separate"/>
        </w:r>
        <w:r w:rsidR="00150432">
          <w:rPr>
            <w:noProof/>
            <w:webHidden/>
          </w:rPr>
          <w:t>4</w:t>
        </w:r>
        <w:r w:rsidR="005324ED">
          <w:rPr>
            <w:noProof/>
            <w:webHidden/>
          </w:rPr>
          <w:fldChar w:fldCharType="end"/>
        </w:r>
      </w:hyperlink>
    </w:p>
    <w:p w14:paraId="4FBA1D41" w14:textId="3BAD757F" w:rsidR="005324ED" w:rsidRDefault="00B24349">
      <w:pPr>
        <w:pStyle w:val="TOC2"/>
        <w:tabs>
          <w:tab w:val="left" w:pos="880"/>
          <w:tab w:val="right" w:leader="dot" w:pos="9060"/>
        </w:tabs>
        <w:rPr>
          <w:rFonts w:eastAsiaTheme="minorEastAsia" w:cstheme="minorBidi"/>
          <w:smallCaps w:val="0"/>
          <w:noProof/>
          <w:sz w:val="22"/>
          <w:szCs w:val="22"/>
          <w:lang w:eastAsia="en-GB" w:bidi="ar-SA"/>
        </w:rPr>
      </w:pPr>
      <w:hyperlink w:anchor="_Toc526338042" w:history="1">
        <w:r w:rsidR="005324ED" w:rsidRPr="00690948">
          <w:rPr>
            <w:rStyle w:val="Hyperlink"/>
            <w:noProof/>
          </w:rPr>
          <w:t>1.2</w:t>
        </w:r>
        <w:r w:rsidR="005324ED">
          <w:rPr>
            <w:rFonts w:eastAsiaTheme="minorEastAsia" w:cstheme="minorBidi"/>
            <w:smallCaps w:val="0"/>
            <w:noProof/>
            <w:sz w:val="22"/>
            <w:szCs w:val="22"/>
            <w:lang w:eastAsia="en-GB" w:bidi="ar-SA"/>
          </w:rPr>
          <w:tab/>
        </w:r>
        <w:r w:rsidR="005324ED" w:rsidRPr="00690948">
          <w:rPr>
            <w:rStyle w:val="Hyperlink"/>
            <w:noProof/>
          </w:rPr>
          <w:t>The application</w:t>
        </w:r>
        <w:r w:rsidR="005324ED">
          <w:rPr>
            <w:noProof/>
            <w:webHidden/>
          </w:rPr>
          <w:tab/>
        </w:r>
        <w:r w:rsidR="005324ED">
          <w:rPr>
            <w:noProof/>
            <w:webHidden/>
          </w:rPr>
          <w:fldChar w:fldCharType="begin"/>
        </w:r>
        <w:r w:rsidR="005324ED">
          <w:rPr>
            <w:noProof/>
            <w:webHidden/>
          </w:rPr>
          <w:instrText xml:space="preserve"> PAGEREF _Toc526338042 \h </w:instrText>
        </w:r>
        <w:r w:rsidR="005324ED">
          <w:rPr>
            <w:noProof/>
            <w:webHidden/>
          </w:rPr>
        </w:r>
        <w:r w:rsidR="005324ED">
          <w:rPr>
            <w:noProof/>
            <w:webHidden/>
          </w:rPr>
          <w:fldChar w:fldCharType="separate"/>
        </w:r>
        <w:r w:rsidR="00150432">
          <w:rPr>
            <w:noProof/>
            <w:webHidden/>
          </w:rPr>
          <w:t>4</w:t>
        </w:r>
        <w:r w:rsidR="005324ED">
          <w:rPr>
            <w:noProof/>
            <w:webHidden/>
          </w:rPr>
          <w:fldChar w:fldCharType="end"/>
        </w:r>
      </w:hyperlink>
    </w:p>
    <w:p w14:paraId="32012746" w14:textId="67E4154C" w:rsidR="005324ED" w:rsidRDefault="00B24349">
      <w:pPr>
        <w:pStyle w:val="TOC2"/>
        <w:tabs>
          <w:tab w:val="left" w:pos="880"/>
          <w:tab w:val="right" w:leader="dot" w:pos="9060"/>
        </w:tabs>
        <w:rPr>
          <w:rFonts w:eastAsiaTheme="minorEastAsia" w:cstheme="minorBidi"/>
          <w:smallCaps w:val="0"/>
          <w:noProof/>
          <w:sz w:val="22"/>
          <w:szCs w:val="22"/>
          <w:lang w:eastAsia="en-GB" w:bidi="ar-SA"/>
        </w:rPr>
      </w:pPr>
      <w:hyperlink w:anchor="_Toc526338043" w:history="1">
        <w:r w:rsidR="005324ED" w:rsidRPr="00690948">
          <w:rPr>
            <w:rStyle w:val="Hyperlink"/>
            <w:noProof/>
          </w:rPr>
          <w:t>1.3</w:t>
        </w:r>
        <w:r w:rsidR="005324ED">
          <w:rPr>
            <w:rFonts w:eastAsiaTheme="minorEastAsia" w:cstheme="minorBidi"/>
            <w:smallCaps w:val="0"/>
            <w:noProof/>
            <w:sz w:val="22"/>
            <w:szCs w:val="22"/>
            <w:lang w:eastAsia="en-GB" w:bidi="ar-SA"/>
          </w:rPr>
          <w:tab/>
        </w:r>
        <w:r w:rsidR="005324ED" w:rsidRPr="00690948">
          <w:rPr>
            <w:rStyle w:val="Hyperlink"/>
            <w:noProof/>
          </w:rPr>
          <w:t>The current Code requirements</w:t>
        </w:r>
        <w:r w:rsidR="005324ED">
          <w:rPr>
            <w:noProof/>
            <w:webHidden/>
          </w:rPr>
          <w:tab/>
        </w:r>
        <w:r w:rsidR="005324ED">
          <w:rPr>
            <w:noProof/>
            <w:webHidden/>
          </w:rPr>
          <w:fldChar w:fldCharType="begin"/>
        </w:r>
        <w:r w:rsidR="005324ED">
          <w:rPr>
            <w:noProof/>
            <w:webHidden/>
          </w:rPr>
          <w:instrText xml:space="preserve"> PAGEREF _Toc526338043 \h </w:instrText>
        </w:r>
        <w:r w:rsidR="005324ED">
          <w:rPr>
            <w:noProof/>
            <w:webHidden/>
          </w:rPr>
        </w:r>
        <w:r w:rsidR="005324ED">
          <w:rPr>
            <w:noProof/>
            <w:webHidden/>
          </w:rPr>
          <w:fldChar w:fldCharType="separate"/>
        </w:r>
        <w:r w:rsidR="00150432">
          <w:rPr>
            <w:noProof/>
            <w:webHidden/>
          </w:rPr>
          <w:t>4</w:t>
        </w:r>
        <w:r w:rsidR="005324ED">
          <w:rPr>
            <w:noProof/>
            <w:webHidden/>
          </w:rPr>
          <w:fldChar w:fldCharType="end"/>
        </w:r>
      </w:hyperlink>
    </w:p>
    <w:p w14:paraId="714C680B" w14:textId="327D6F2B" w:rsidR="005324ED" w:rsidRDefault="00B24349">
      <w:pPr>
        <w:pStyle w:val="TOC3"/>
        <w:tabs>
          <w:tab w:val="right" w:leader="dot" w:pos="9060"/>
        </w:tabs>
        <w:rPr>
          <w:rFonts w:eastAsiaTheme="minorEastAsia" w:cstheme="minorBidi"/>
          <w:i w:val="0"/>
          <w:iCs w:val="0"/>
          <w:noProof/>
          <w:sz w:val="22"/>
          <w:szCs w:val="22"/>
          <w:lang w:eastAsia="en-GB" w:bidi="ar-SA"/>
        </w:rPr>
      </w:pPr>
      <w:hyperlink w:anchor="_Toc526338044" w:history="1">
        <w:r w:rsidR="005324ED" w:rsidRPr="00690948">
          <w:rPr>
            <w:rStyle w:val="Hyperlink"/>
            <w:noProof/>
          </w:rPr>
          <w:t>1.3.1 Food additive permissions</w:t>
        </w:r>
        <w:r w:rsidR="005324ED">
          <w:rPr>
            <w:noProof/>
            <w:webHidden/>
          </w:rPr>
          <w:tab/>
        </w:r>
        <w:r w:rsidR="005324ED">
          <w:rPr>
            <w:noProof/>
            <w:webHidden/>
          </w:rPr>
          <w:fldChar w:fldCharType="begin"/>
        </w:r>
        <w:r w:rsidR="005324ED">
          <w:rPr>
            <w:noProof/>
            <w:webHidden/>
          </w:rPr>
          <w:instrText xml:space="preserve"> PAGEREF _Toc526338044 \h </w:instrText>
        </w:r>
        <w:r w:rsidR="005324ED">
          <w:rPr>
            <w:noProof/>
            <w:webHidden/>
          </w:rPr>
        </w:r>
        <w:r w:rsidR="005324ED">
          <w:rPr>
            <w:noProof/>
            <w:webHidden/>
          </w:rPr>
          <w:fldChar w:fldCharType="separate"/>
        </w:r>
        <w:r w:rsidR="00150432">
          <w:rPr>
            <w:noProof/>
            <w:webHidden/>
          </w:rPr>
          <w:t>4</w:t>
        </w:r>
        <w:r w:rsidR="005324ED">
          <w:rPr>
            <w:noProof/>
            <w:webHidden/>
          </w:rPr>
          <w:fldChar w:fldCharType="end"/>
        </w:r>
      </w:hyperlink>
    </w:p>
    <w:p w14:paraId="1B405001" w14:textId="5A7ED6E8" w:rsidR="005324ED" w:rsidRDefault="00B24349">
      <w:pPr>
        <w:pStyle w:val="TOC3"/>
        <w:tabs>
          <w:tab w:val="right" w:leader="dot" w:pos="9060"/>
        </w:tabs>
        <w:rPr>
          <w:rFonts w:eastAsiaTheme="minorEastAsia" w:cstheme="minorBidi"/>
          <w:i w:val="0"/>
          <w:iCs w:val="0"/>
          <w:noProof/>
          <w:sz w:val="22"/>
          <w:szCs w:val="22"/>
          <w:lang w:eastAsia="en-GB" w:bidi="ar-SA"/>
        </w:rPr>
      </w:pPr>
      <w:hyperlink w:anchor="_Toc526338045" w:history="1">
        <w:r w:rsidR="005324ED" w:rsidRPr="00690948">
          <w:rPr>
            <w:rStyle w:val="Hyperlink"/>
            <w:noProof/>
          </w:rPr>
          <w:t>1.3.2 Labelling requirements</w:t>
        </w:r>
        <w:r w:rsidR="005324ED">
          <w:rPr>
            <w:noProof/>
            <w:webHidden/>
          </w:rPr>
          <w:tab/>
        </w:r>
        <w:r w:rsidR="005324ED">
          <w:rPr>
            <w:noProof/>
            <w:webHidden/>
          </w:rPr>
          <w:fldChar w:fldCharType="begin"/>
        </w:r>
        <w:r w:rsidR="005324ED">
          <w:rPr>
            <w:noProof/>
            <w:webHidden/>
          </w:rPr>
          <w:instrText xml:space="preserve"> PAGEREF _Toc526338045 \h </w:instrText>
        </w:r>
        <w:r w:rsidR="005324ED">
          <w:rPr>
            <w:noProof/>
            <w:webHidden/>
          </w:rPr>
        </w:r>
        <w:r w:rsidR="005324ED">
          <w:rPr>
            <w:noProof/>
            <w:webHidden/>
          </w:rPr>
          <w:fldChar w:fldCharType="separate"/>
        </w:r>
        <w:r w:rsidR="00150432">
          <w:rPr>
            <w:noProof/>
            <w:webHidden/>
          </w:rPr>
          <w:t>4</w:t>
        </w:r>
        <w:r w:rsidR="005324ED">
          <w:rPr>
            <w:noProof/>
            <w:webHidden/>
          </w:rPr>
          <w:fldChar w:fldCharType="end"/>
        </w:r>
      </w:hyperlink>
    </w:p>
    <w:p w14:paraId="0D4A0052" w14:textId="69575811" w:rsidR="005324ED" w:rsidRDefault="00B24349">
      <w:pPr>
        <w:pStyle w:val="TOC3"/>
        <w:tabs>
          <w:tab w:val="right" w:leader="dot" w:pos="9060"/>
        </w:tabs>
        <w:rPr>
          <w:rFonts w:eastAsiaTheme="minorEastAsia" w:cstheme="minorBidi"/>
          <w:i w:val="0"/>
          <w:iCs w:val="0"/>
          <w:noProof/>
          <w:sz w:val="22"/>
          <w:szCs w:val="22"/>
          <w:lang w:eastAsia="en-GB" w:bidi="ar-SA"/>
        </w:rPr>
      </w:pPr>
      <w:hyperlink w:anchor="_Toc526338046" w:history="1">
        <w:r w:rsidR="005324ED" w:rsidRPr="00690948">
          <w:rPr>
            <w:rStyle w:val="Hyperlink"/>
            <w:noProof/>
          </w:rPr>
          <w:t>1.3.3 Identity and purity requirements</w:t>
        </w:r>
        <w:r w:rsidR="005324ED">
          <w:rPr>
            <w:noProof/>
            <w:webHidden/>
          </w:rPr>
          <w:tab/>
        </w:r>
        <w:r w:rsidR="005324ED">
          <w:rPr>
            <w:noProof/>
            <w:webHidden/>
          </w:rPr>
          <w:fldChar w:fldCharType="begin"/>
        </w:r>
        <w:r w:rsidR="005324ED">
          <w:rPr>
            <w:noProof/>
            <w:webHidden/>
          </w:rPr>
          <w:instrText xml:space="preserve"> PAGEREF _Toc526338046 \h </w:instrText>
        </w:r>
        <w:r w:rsidR="005324ED">
          <w:rPr>
            <w:noProof/>
            <w:webHidden/>
          </w:rPr>
        </w:r>
        <w:r w:rsidR="005324ED">
          <w:rPr>
            <w:noProof/>
            <w:webHidden/>
          </w:rPr>
          <w:fldChar w:fldCharType="separate"/>
        </w:r>
        <w:r w:rsidR="00150432">
          <w:rPr>
            <w:noProof/>
            <w:webHidden/>
          </w:rPr>
          <w:t>5</w:t>
        </w:r>
        <w:r w:rsidR="005324ED">
          <w:rPr>
            <w:noProof/>
            <w:webHidden/>
          </w:rPr>
          <w:fldChar w:fldCharType="end"/>
        </w:r>
      </w:hyperlink>
    </w:p>
    <w:p w14:paraId="6AFB07FA" w14:textId="17E1913E" w:rsidR="005324ED" w:rsidRDefault="00B24349">
      <w:pPr>
        <w:pStyle w:val="TOC2"/>
        <w:tabs>
          <w:tab w:val="right" w:leader="dot" w:pos="9060"/>
        </w:tabs>
        <w:rPr>
          <w:rFonts w:eastAsiaTheme="minorEastAsia" w:cstheme="minorBidi"/>
          <w:smallCaps w:val="0"/>
          <w:noProof/>
          <w:sz w:val="22"/>
          <w:szCs w:val="22"/>
          <w:lang w:eastAsia="en-GB" w:bidi="ar-SA"/>
        </w:rPr>
      </w:pPr>
      <w:hyperlink w:anchor="_Toc526338047" w:history="1">
        <w:r w:rsidR="005324ED" w:rsidRPr="00690948">
          <w:rPr>
            <w:rStyle w:val="Hyperlink"/>
            <w:noProof/>
            <w:u w:color="FFFF00"/>
          </w:rPr>
          <w:t>1.4 International and national requirements</w:t>
        </w:r>
        <w:r w:rsidR="005324ED">
          <w:rPr>
            <w:noProof/>
            <w:webHidden/>
          </w:rPr>
          <w:tab/>
        </w:r>
        <w:r w:rsidR="005324ED">
          <w:rPr>
            <w:noProof/>
            <w:webHidden/>
          </w:rPr>
          <w:fldChar w:fldCharType="begin"/>
        </w:r>
        <w:r w:rsidR="005324ED">
          <w:rPr>
            <w:noProof/>
            <w:webHidden/>
          </w:rPr>
          <w:instrText xml:space="preserve"> PAGEREF _Toc526338047 \h </w:instrText>
        </w:r>
        <w:r w:rsidR="005324ED">
          <w:rPr>
            <w:noProof/>
            <w:webHidden/>
          </w:rPr>
        </w:r>
        <w:r w:rsidR="005324ED">
          <w:rPr>
            <w:noProof/>
            <w:webHidden/>
          </w:rPr>
          <w:fldChar w:fldCharType="separate"/>
        </w:r>
        <w:r w:rsidR="00150432">
          <w:rPr>
            <w:noProof/>
            <w:webHidden/>
          </w:rPr>
          <w:t>5</w:t>
        </w:r>
        <w:r w:rsidR="005324ED">
          <w:rPr>
            <w:noProof/>
            <w:webHidden/>
          </w:rPr>
          <w:fldChar w:fldCharType="end"/>
        </w:r>
      </w:hyperlink>
    </w:p>
    <w:p w14:paraId="3B6DF8E2" w14:textId="2C72F5D9" w:rsidR="005324ED" w:rsidRDefault="00B24349">
      <w:pPr>
        <w:pStyle w:val="TOC3"/>
        <w:tabs>
          <w:tab w:val="right" w:leader="dot" w:pos="9060"/>
        </w:tabs>
        <w:rPr>
          <w:rFonts w:eastAsiaTheme="minorEastAsia" w:cstheme="minorBidi"/>
          <w:i w:val="0"/>
          <w:iCs w:val="0"/>
          <w:noProof/>
          <w:sz w:val="22"/>
          <w:szCs w:val="22"/>
          <w:lang w:eastAsia="en-GB" w:bidi="ar-SA"/>
        </w:rPr>
      </w:pPr>
      <w:hyperlink w:anchor="_Toc526338048" w:history="1">
        <w:r w:rsidR="005324ED" w:rsidRPr="00690948">
          <w:rPr>
            <w:rStyle w:val="Hyperlink"/>
            <w:noProof/>
            <w:u w:color="FFFF00"/>
          </w:rPr>
          <w:t>1.4.1 International requirements</w:t>
        </w:r>
        <w:r w:rsidR="005324ED">
          <w:rPr>
            <w:noProof/>
            <w:webHidden/>
          </w:rPr>
          <w:tab/>
        </w:r>
        <w:r w:rsidR="005324ED">
          <w:rPr>
            <w:noProof/>
            <w:webHidden/>
          </w:rPr>
          <w:fldChar w:fldCharType="begin"/>
        </w:r>
        <w:r w:rsidR="005324ED">
          <w:rPr>
            <w:noProof/>
            <w:webHidden/>
          </w:rPr>
          <w:instrText xml:space="preserve"> PAGEREF _Toc526338048 \h </w:instrText>
        </w:r>
        <w:r w:rsidR="005324ED">
          <w:rPr>
            <w:noProof/>
            <w:webHidden/>
          </w:rPr>
        </w:r>
        <w:r w:rsidR="005324ED">
          <w:rPr>
            <w:noProof/>
            <w:webHidden/>
          </w:rPr>
          <w:fldChar w:fldCharType="separate"/>
        </w:r>
        <w:r w:rsidR="00150432">
          <w:rPr>
            <w:noProof/>
            <w:webHidden/>
          </w:rPr>
          <w:t>5</w:t>
        </w:r>
        <w:r w:rsidR="005324ED">
          <w:rPr>
            <w:noProof/>
            <w:webHidden/>
          </w:rPr>
          <w:fldChar w:fldCharType="end"/>
        </w:r>
      </w:hyperlink>
    </w:p>
    <w:p w14:paraId="04F1C1B5" w14:textId="429D0A7D" w:rsidR="005324ED" w:rsidRDefault="00B24349">
      <w:pPr>
        <w:pStyle w:val="TOC3"/>
        <w:tabs>
          <w:tab w:val="right" w:leader="dot" w:pos="9060"/>
        </w:tabs>
        <w:rPr>
          <w:rFonts w:eastAsiaTheme="minorEastAsia" w:cstheme="minorBidi"/>
          <w:i w:val="0"/>
          <w:iCs w:val="0"/>
          <w:noProof/>
          <w:sz w:val="22"/>
          <w:szCs w:val="22"/>
          <w:lang w:eastAsia="en-GB" w:bidi="ar-SA"/>
        </w:rPr>
      </w:pPr>
      <w:hyperlink w:anchor="_Toc526338049" w:history="1">
        <w:r w:rsidR="005324ED" w:rsidRPr="00690948">
          <w:rPr>
            <w:rStyle w:val="Hyperlink"/>
            <w:noProof/>
            <w:u w:color="FFFF00"/>
          </w:rPr>
          <w:t>1.4.2 European Union</w:t>
        </w:r>
        <w:r w:rsidR="005324ED">
          <w:rPr>
            <w:noProof/>
            <w:webHidden/>
          </w:rPr>
          <w:tab/>
        </w:r>
        <w:r w:rsidR="005324ED">
          <w:rPr>
            <w:noProof/>
            <w:webHidden/>
          </w:rPr>
          <w:fldChar w:fldCharType="begin"/>
        </w:r>
        <w:r w:rsidR="005324ED">
          <w:rPr>
            <w:noProof/>
            <w:webHidden/>
          </w:rPr>
          <w:instrText xml:space="preserve"> PAGEREF _Toc526338049 \h </w:instrText>
        </w:r>
        <w:r w:rsidR="005324ED">
          <w:rPr>
            <w:noProof/>
            <w:webHidden/>
          </w:rPr>
        </w:r>
        <w:r w:rsidR="005324ED">
          <w:rPr>
            <w:noProof/>
            <w:webHidden/>
          </w:rPr>
          <w:fldChar w:fldCharType="separate"/>
        </w:r>
        <w:r w:rsidR="00150432">
          <w:rPr>
            <w:noProof/>
            <w:webHidden/>
          </w:rPr>
          <w:t>5</w:t>
        </w:r>
        <w:r w:rsidR="005324ED">
          <w:rPr>
            <w:noProof/>
            <w:webHidden/>
          </w:rPr>
          <w:fldChar w:fldCharType="end"/>
        </w:r>
      </w:hyperlink>
    </w:p>
    <w:p w14:paraId="49A0FACB" w14:textId="5B1CCFBF" w:rsidR="005324ED" w:rsidRDefault="00B24349">
      <w:pPr>
        <w:pStyle w:val="TOC3"/>
        <w:tabs>
          <w:tab w:val="right" w:leader="dot" w:pos="9060"/>
        </w:tabs>
        <w:rPr>
          <w:rFonts w:eastAsiaTheme="minorEastAsia" w:cstheme="minorBidi"/>
          <w:i w:val="0"/>
          <w:iCs w:val="0"/>
          <w:noProof/>
          <w:sz w:val="22"/>
          <w:szCs w:val="22"/>
          <w:lang w:eastAsia="en-GB" w:bidi="ar-SA"/>
        </w:rPr>
      </w:pPr>
      <w:hyperlink w:anchor="_Toc526338050" w:history="1">
        <w:r w:rsidR="005324ED" w:rsidRPr="00690948">
          <w:rPr>
            <w:rStyle w:val="Hyperlink"/>
            <w:noProof/>
          </w:rPr>
          <w:t>1.4.3 United States of America (USA)</w:t>
        </w:r>
        <w:r w:rsidR="005324ED">
          <w:rPr>
            <w:noProof/>
            <w:webHidden/>
          </w:rPr>
          <w:tab/>
        </w:r>
        <w:r w:rsidR="005324ED">
          <w:rPr>
            <w:noProof/>
            <w:webHidden/>
          </w:rPr>
          <w:fldChar w:fldCharType="begin"/>
        </w:r>
        <w:r w:rsidR="005324ED">
          <w:rPr>
            <w:noProof/>
            <w:webHidden/>
          </w:rPr>
          <w:instrText xml:space="preserve"> PAGEREF _Toc526338050 \h </w:instrText>
        </w:r>
        <w:r w:rsidR="005324ED">
          <w:rPr>
            <w:noProof/>
            <w:webHidden/>
          </w:rPr>
        </w:r>
        <w:r w:rsidR="005324ED">
          <w:rPr>
            <w:noProof/>
            <w:webHidden/>
          </w:rPr>
          <w:fldChar w:fldCharType="separate"/>
        </w:r>
        <w:r w:rsidR="00150432">
          <w:rPr>
            <w:noProof/>
            <w:webHidden/>
          </w:rPr>
          <w:t>5</w:t>
        </w:r>
        <w:r w:rsidR="005324ED">
          <w:rPr>
            <w:noProof/>
            <w:webHidden/>
          </w:rPr>
          <w:fldChar w:fldCharType="end"/>
        </w:r>
      </w:hyperlink>
    </w:p>
    <w:p w14:paraId="3FC226DF" w14:textId="61E12F7B" w:rsidR="005324ED" w:rsidRDefault="00B24349">
      <w:pPr>
        <w:pStyle w:val="TOC3"/>
        <w:tabs>
          <w:tab w:val="right" w:leader="dot" w:pos="9060"/>
        </w:tabs>
        <w:rPr>
          <w:rFonts w:eastAsiaTheme="minorEastAsia" w:cstheme="minorBidi"/>
          <w:i w:val="0"/>
          <w:iCs w:val="0"/>
          <w:noProof/>
          <w:sz w:val="22"/>
          <w:szCs w:val="22"/>
          <w:lang w:eastAsia="en-GB" w:bidi="ar-SA"/>
        </w:rPr>
      </w:pPr>
      <w:hyperlink w:anchor="_Toc526338051" w:history="1">
        <w:r w:rsidR="005324ED" w:rsidRPr="00690948">
          <w:rPr>
            <w:rStyle w:val="Hyperlink"/>
            <w:noProof/>
          </w:rPr>
          <w:t>1.4.4 Canada</w:t>
        </w:r>
        <w:r w:rsidR="005324ED">
          <w:rPr>
            <w:noProof/>
            <w:webHidden/>
          </w:rPr>
          <w:tab/>
        </w:r>
        <w:r w:rsidR="005324ED">
          <w:rPr>
            <w:noProof/>
            <w:webHidden/>
          </w:rPr>
          <w:fldChar w:fldCharType="begin"/>
        </w:r>
        <w:r w:rsidR="005324ED">
          <w:rPr>
            <w:noProof/>
            <w:webHidden/>
          </w:rPr>
          <w:instrText xml:space="preserve"> PAGEREF _Toc526338051 \h </w:instrText>
        </w:r>
        <w:r w:rsidR="005324ED">
          <w:rPr>
            <w:noProof/>
            <w:webHidden/>
          </w:rPr>
        </w:r>
        <w:r w:rsidR="005324ED">
          <w:rPr>
            <w:noProof/>
            <w:webHidden/>
          </w:rPr>
          <w:fldChar w:fldCharType="separate"/>
        </w:r>
        <w:r w:rsidR="00150432">
          <w:rPr>
            <w:noProof/>
            <w:webHidden/>
          </w:rPr>
          <w:t>5</w:t>
        </w:r>
        <w:r w:rsidR="005324ED">
          <w:rPr>
            <w:noProof/>
            <w:webHidden/>
          </w:rPr>
          <w:fldChar w:fldCharType="end"/>
        </w:r>
      </w:hyperlink>
    </w:p>
    <w:p w14:paraId="165A0CC9" w14:textId="467AE0A9" w:rsidR="005324ED" w:rsidRDefault="00B24349">
      <w:pPr>
        <w:pStyle w:val="TOC3"/>
        <w:tabs>
          <w:tab w:val="right" w:leader="dot" w:pos="9060"/>
        </w:tabs>
        <w:rPr>
          <w:rFonts w:eastAsiaTheme="minorEastAsia" w:cstheme="minorBidi"/>
          <w:i w:val="0"/>
          <w:iCs w:val="0"/>
          <w:noProof/>
          <w:sz w:val="22"/>
          <w:szCs w:val="22"/>
          <w:lang w:eastAsia="en-GB" w:bidi="ar-SA"/>
        </w:rPr>
      </w:pPr>
      <w:hyperlink w:anchor="_Toc526338052" w:history="1">
        <w:r w:rsidR="005324ED" w:rsidRPr="00690948">
          <w:rPr>
            <w:rStyle w:val="Hyperlink"/>
            <w:noProof/>
          </w:rPr>
          <w:t>1.4.5 Other countries</w:t>
        </w:r>
        <w:r w:rsidR="005324ED">
          <w:rPr>
            <w:noProof/>
            <w:webHidden/>
          </w:rPr>
          <w:tab/>
        </w:r>
        <w:r w:rsidR="005324ED">
          <w:rPr>
            <w:noProof/>
            <w:webHidden/>
          </w:rPr>
          <w:fldChar w:fldCharType="begin"/>
        </w:r>
        <w:r w:rsidR="005324ED">
          <w:rPr>
            <w:noProof/>
            <w:webHidden/>
          </w:rPr>
          <w:instrText xml:space="preserve"> PAGEREF _Toc526338052 \h </w:instrText>
        </w:r>
        <w:r w:rsidR="005324ED">
          <w:rPr>
            <w:noProof/>
            <w:webHidden/>
          </w:rPr>
        </w:r>
        <w:r w:rsidR="005324ED">
          <w:rPr>
            <w:noProof/>
            <w:webHidden/>
          </w:rPr>
          <w:fldChar w:fldCharType="separate"/>
        </w:r>
        <w:r w:rsidR="00150432">
          <w:rPr>
            <w:noProof/>
            <w:webHidden/>
          </w:rPr>
          <w:t>6</w:t>
        </w:r>
        <w:r w:rsidR="005324ED">
          <w:rPr>
            <w:noProof/>
            <w:webHidden/>
          </w:rPr>
          <w:fldChar w:fldCharType="end"/>
        </w:r>
      </w:hyperlink>
    </w:p>
    <w:p w14:paraId="17A93158" w14:textId="4F56D5A9" w:rsidR="005324ED" w:rsidRDefault="00B24349">
      <w:pPr>
        <w:pStyle w:val="TOC2"/>
        <w:tabs>
          <w:tab w:val="left" w:pos="880"/>
          <w:tab w:val="right" w:leader="dot" w:pos="9060"/>
        </w:tabs>
        <w:rPr>
          <w:rFonts w:eastAsiaTheme="minorEastAsia" w:cstheme="minorBidi"/>
          <w:smallCaps w:val="0"/>
          <w:noProof/>
          <w:sz w:val="22"/>
          <w:szCs w:val="22"/>
          <w:lang w:eastAsia="en-GB" w:bidi="ar-SA"/>
        </w:rPr>
      </w:pPr>
      <w:hyperlink w:anchor="_Toc526338053" w:history="1">
        <w:r w:rsidR="005324ED" w:rsidRPr="00690948">
          <w:rPr>
            <w:rStyle w:val="Hyperlink"/>
            <w:noProof/>
            <w:u w:color="FFFF00"/>
          </w:rPr>
          <w:t xml:space="preserve">1.5 </w:t>
        </w:r>
        <w:r w:rsidR="005324ED">
          <w:rPr>
            <w:rFonts w:eastAsiaTheme="minorEastAsia" w:cstheme="minorBidi"/>
            <w:smallCaps w:val="0"/>
            <w:noProof/>
            <w:sz w:val="22"/>
            <w:szCs w:val="22"/>
            <w:lang w:eastAsia="en-GB" w:bidi="ar-SA"/>
          </w:rPr>
          <w:tab/>
        </w:r>
        <w:r w:rsidR="005324ED" w:rsidRPr="00690948">
          <w:rPr>
            <w:rStyle w:val="Hyperlink"/>
            <w:noProof/>
            <w:u w:color="FFFF00"/>
          </w:rPr>
          <w:t>Reasons for accepting the application</w:t>
        </w:r>
        <w:r w:rsidR="005324ED">
          <w:rPr>
            <w:noProof/>
            <w:webHidden/>
          </w:rPr>
          <w:tab/>
        </w:r>
        <w:r w:rsidR="005324ED">
          <w:rPr>
            <w:noProof/>
            <w:webHidden/>
          </w:rPr>
          <w:fldChar w:fldCharType="begin"/>
        </w:r>
        <w:r w:rsidR="005324ED">
          <w:rPr>
            <w:noProof/>
            <w:webHidden/>
          </w:rPr>
          <w:instrText xml:space="preserve"> PAGEREF _Toc526338053 \h </w:instrText>
        </w:r>
        <w:r w:rsidR="005324ED">
          <w:rPr>
            <w:noProof/>
            <w:webHidden/>
          </w:rPr>
        </w:r>
        <w:r w:rsidR="005324ED">
          <w:rPr>
            <w:noProof/>
            <w:webHidden/>
          </w:rPr>
          <w:fldChar w:fldCharType="separate"/>
        </w:r>
        <w:r w:rsidR="00150432">
          <w:rPr>
            <w:noProof/>
            <w:webHidden/>
          </w:rPr>
          <w:t>6</w:t>
        </w:r>
        <w:r w:rsidR="005324ED">
          <w:rPr>
            <w:noProof/>
            <w:webHidden/>
          </w:rPr>
          <w:fldChar w:fldCharType="end"/>
        </w:r>
      </w:hyperlink>
    </w:p>
    <w:p w14:paraId="50D6CAE5" w14:textId="73BFE916" w:rsidR="005324ED" w:rsidRDefault="00B24349">
      <w:pPr>
        <w:pStyle w:val="TOC2"/>
        <w:tabs>
          <w:tab w:val="left" w:pos="880"/>
          <w:tab w:val="right" w:leader="dot" w:pos="9060"/>
        </w:tabs>
        <w:rPr>
          <w:rFonts w:eastAsiaTheme="minorEastAsia" w:cstheme="minorBidi"/>
          <w:smallCaps w:val="0"/>
          <w:noProof/>
          <w:sz w:val="22"/>
          <w:szCs w:val="22"/>
          <w:lang w:eastAsia="en-GB" w:bidi="ar-SA"/>
        </w:rPr>
      </w:pPr>
      <w:hyperlink w:anchor="_Toc526338054" w:history="1">
        <w:r w:rsidR="005324ED" w:rsidRPr="00690948">
          <w:rPr>
            <w:rStyle w:val="Hyperlink"/>
            <w:noProof/>
          </w:rPr>
          <w:t>1.6</w:t>
        </w:r>
        <w:r w:rsidR="005324ED">
          <w:rPr>
            <w:rFonts w:eastAsiaTheme="minorEastAsia" w:cstheme="minorBidi"/>
            <w:smallCaps w:val="0"/>
            <w:noProof/>
            <w:sz w:val="22"/>
            <w:szCs w:val="22"/>
            <w:lang w:eastAsia="en-GB" w:bidi="ar-SA"/>
          </w:rPr>
          <w:tab/>
        </w:r>
        <w:r w:rsidR="005324ED" w:rsidRPr="00690948">
          <w:rPr>
            <w:rStyle w:val="Hyperlink"/>
            <w:noProof/>
          </w:rPr>
          <w:t>Procedure for assessment</w:t>
        </w:r>
        <w:r w:rsidR="005324ED">
          <w:rPr>
            <w:noProof/>
            <w:webHidden/>
          </w:rPr>
          <w:tab/>
        </w:r>
        <w:r w:rsidR="005324ED">
          <w:rPr>
            <w:noProof/>
            <w:webHidden/>
          </w:rPr>
          <w:fldChar w:fldCharType="begin"/>
        </w:r>
        <w:r w:rsidR="005324ED">
          <w:rPr>
            <w:noProof/>
            <w:webHidden/>
          </w:rPr>
          <w:instrText xml:space="preserve"> PAGEREF _Toc526338054 \h </w:instrText>
        </w:r>
        <w:r w:rsidR="005324ED">
          <w:rPr>
            <w:noProof/>
            <w:webHidden/>
          </w:rPr>
        </w:r>
        <w:r w:rsidR="005324ED">
          <w:rPr>
            <w:noProof/>
            <w:webHidden/>
          </w:rPr>
          <w:fldChar w:fldCharType="separate"/>
        </w:r>
        <w:r w:rsidR="00150432">
          <w:rPr>
            <w:noProof/>
            <w:webHidden/>
          </w:rPr>
          <w:t>6</w:t>
        </w:r>
        <w:r w:rsidR="005324ED">
          <w:rPr>
            <w:noProof/>
            <w:webHidden/>
          </w:rPr>
          <w:fldChar w:fldCharType="end"/>
        </w:r>
      </w:hyperlink>
    </w:p>
    <w:p w14:paraId="5B32896F" w14:textId="42F51D2B" w:rsidR="005324ED" w:rsidRDefault="00B24349">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338055" w:history="1">
        <w:r w:rsidR="005324ED" w:rsidRPr="00690948">
          <w:rPr>
            <w:rStyle w:val="Hyperlink"/>
            <w:noProof/>
          </w:rPr>
          <w:t>2</w:t>
        </w:r>
        <w:r w:rsidR="005324ED">
          <w:rPr>
            <w:rFonts w:eastAsiaTheme="minorEastAsia" w:cstheme="minorBidi"/>
            <w:b w:val="0"/>
            <w:bCs w:val="0"/>
            <w:caps w:val="0"/>
            <w:noProof/>
            <w:sz w:val="22"/>
            <w:szCs w:val="22"/>
            <w:lang w:eastAsia="en-GB" w:bidi="ar-SA"/>
          </w:rPr>
          <w:tab/>
        </w:r>
        <w:r w:rsidR="005324ED" w:rsidRPr="00690948">
          <w:rPr>
            <w:rStyle w:val="Hyperlink"/>
            <w:noProof/>
          </w:rPr>
          <w:t>Summary of the assessment</w:t>
        </w:r>
        <w:r w:rsidR="005324ED">
          <w:rPr>
            <w:noProof/>
            <w:webHidden/>
          </w:rPr>
          <w:tab/>
        </w:r>
        <w:r w:rsidR="005324ED">
          <w:rPr>
            <w:noProof/>
            <w:webHidden/>
          </w:rPr>
          <w:fldChar w:fldCharType="begin"/>
        </w:r>
        <w:r w:rsidR="005324ED">
          <w:rPr>
            <w:noProof/>
            <w:webHidden/>
          </w:rPr>
          <w:instrText xml:space="preserve"> PAGEREF _Toc526338055 \h </w:instrText>
        </w:r>
        <w:r w:rsidR="005324ED">
          <w:rPr>
            <w:noProof/>
            <w:webHidden/>
          </w:rPr>
        </w:r>
        <w:r w:rsidR="005324ED">
          <w:rPr>
            <w:noProof/>
            <w:webHidden/>
          </w:rPr>
          <w:fldChar w:fldCharType="separate"/>
        </w:r>
        <w:r w:rsidR="00150432">
          <w:rPr>
            <w:noProof/>
            <w:webHidden/>
          </w:rPr>
          <w:t>6</w:t>
        </w:r>
        <w:r w:rsidR="005324ED">
          <w:rPr>
            <w:noProof/>
            <w:webHidden/>
          </w:rPr>
          <w:fldChar w:fldCharType="end"/>
        </w:r>
      </w:hyperlink>
    </w:p>
    <w:p w14:paraId="3CCF43C9" w14:textId="7C55CB0F" w:rsidR="005324ED" w:rsidRDefault="00B24349">
      <w:pPr>
        <w:pStyle w:val="TOC2"/>
        <w:tabs>
          <w:tab w:val="left" w:pos="880"/>
          <w:tab w:val="right" w:leader="dot" w:pos="9060"/>
        </w:tabs>
        <w:rPr>
          <w:rFonts w:eastAsiaTheme="minorEastAsia" w:cstheme="minorBidi"/>
          <w:smallCaps w:val="0"/>
          <w:noProof/>
          <w:sz w:val="22"/>
          <w:szCs w:val="22"/>
          <w:lang w:eastAsia="en-GB" w:bidi="ar-SA"/>
        </w:rPr>
      </w:pPr>
      <w:hyperlink w:anchor="_Toc526338056" w:history="1">
        <w:r w:rsidR="005324ED" w:rsidRPr="00690948">
          <w:rPr>
            <w:rStyle w:val="Hyperlink"/>
            <w:noProof/>
          </w:rPr>
          <w:t>2.1</w:t>
        </w:r>
        <w:r w:rsidR="005324ED">
          <w:rPr>
            <w:rFonts w:eastAsiaTheme="minorEastAsia" w:cstheme="minorBidi"/>
            <w:smallCaps w:val="0"/>
            <w:noProof/>
            <w:sz w:val="22"/>
            <w:szCs w:val="22"/>
            <w:lang w:eastAsia="en-GB" w:bidi="ar-SA"/>
          </w:rPr>
          <w:tab/>
        </w:r>
        <w:r w:rsidR="005324ED" w:rsidRPr="00690948">
          <w:rPr>
            <w:rStyle w:val="Hyperlink"/>
            <w:noProof/>
          </w:rPr>
          <w:t>Food technology, hazard and dietary exposure assessment</w:t>
        </w:r>
        <w:r w:rsidR="005324ED">
          <w:rPr>
            <w:noProof/>
            <w:webHidden/>
          </w:rPr>
          <w:tab/>
        </w:r>
        <w:r w:rsidR="005324ED">
          <w:rPr>
            <w:noProof/>
            <w:webHidden/>
          </w:rPr>
          <w:fldChar w:fldCharType="begin"/>
        </w:r>
        <w:r w:rsidR="005324ED">
          <w:rPr>
            <w:noProof/>
            <w:webHidden/>
          </w:rPr>
          <w:instrText xml:space="preserve"> PAGEREF _Toc526338056 \h </w:instrText>
        </w:r>
        <w:r w:rsidR="005324ED">
          <w:rPr>
            <w:noProof/>
            <w:webHidden/>
          </w:rPr>
        </w:r>
        <w:r w:rsidR="005324ED">
          <w:rPr>
            <w:noProof/>
            <w:webHidden/>
          </w:rPr>
          <w:fldChar w:fldCharType="separate"/>
        </w:r>
        <w:r w:rsidR="00150432">
          <w:rPr>
            <w:noProof/>
            <w:webHidden/>
          </w:rPr>
          <w:t>6</w:t>
        </w:r>
        <w:r w:rsidR="005324ED">
          <w:rPr>
            <w:noProof/>
            <w:webHidden/>
          </w:rPr>
          <w:fldChar w:fldCharType="end"/>
        </w:r>
      </w:hyperlink>
    </w:p>
    <w:p w14:paraId="76685566" w14:textId="1D454A01" w:rsidR="005324ED" w:rsidRDefault="00B24349">
      <w:pPr>
        <w:pStyle w:val="TOC3"/>
        <w:tabs>
          <w:tab w:val="right" w:leader="dot" w:pos="9060"/>
        </w:tabs>
        <w:rPr>
          <w:rFonts w:eastAsiaTheme="minorEastAsia" w:cstheme="minorBidi"/>
          <w:i w:val="0"/>
          <w:iCs w:val="0"/>
          <w:noProof/>
          <w:sz w:val="22"/>
          <w:szCs w:val="22"/>
          <w:lang w:eastAsia="en-GB" w:bidi="ar-SA"/>
        </w:rPr>
      </w:pPr>
      <w:hyperlink w:anchor="_Toc526338057" w:history="1">
        <w:r w:rsidR="005324ED" w:rsidRPr="00690948">
          <w:rPr>
            <w:rStyle w:val="Hyperlink"/>
            <w:noProof/>
          </w:rPr>
          <w:t>2.1.1 Food technology assessment conclusions</w:t>
        </w:r>
        <w:r w:rsidR="005324ED">
          <w:rPr>
            <w:noProof/>
            <w:webHidden/>
          </w:rPr>
          <w:tab/>
        </w:r>
        <w:r w:rsidR="005324ED">
          <w:rPr>
            <w:noProof/>
            <w:webHidden/>
          </w:rPr>
          <w:fldChar w:fldCharType="begin"/>
        </w:r>
        <w:r w:rsidR="005324ED">
          <w:rPr>
            <w:noProof/>
            <w:webHidden/>
          </w:rPr>
          <w:instrText xml:space="preserve"> PAGEREF _Toc526338057 \h </w:instrText>
        </w:r>
        <w:r w:rsidR="005324ED">
          <w:rPr>
            <w:noProof/>
            <w:webHidden/>
          </w:rPr>
        </w:r>
        <w:r w:rsidR="005324ED">
          <w:rPr>
            <w:noProof/>
            <w:webHidden/>
          </w:rPr>
          <w:fldChar w:fldCharType="separate"/>
        </w:r>
        <w:r w:rsidR="00150432">
          <w:rPr>
            <w:noProof/>
            <w:webHidden/>
          </w:rPr>
          <w:t>6</w:t>
        </w:r>
        <w:r w:rsidR="005324ED">
          <w:rPr>
            <w:noProof/>
            <w:webHidden/>
          </w:rPr>
          <w:fldChar w:fldCharType="end"/>
        </w:r>
      </w:hyperlink>
    </w:p>
    <w:p w14:paraId="1BA13307" w14:textId="2F95B59A" w:rsidR="005324ED" w:rsidRDefault="00B24349">
      <w:pPr>
        <w:pStyle w:val="TOC3"/>
        <w:tabs>
          <w:tab w:val="right" w:leader="dot" w:pos="9060"/>
        </w:tabs>
        <w:rPr>
          <w:rFonts w:eastAsiaTheme="minorEastAsia" w:cstheme="minorBidi"/>
          <w:i w:val="0"/>
          <w:iCs w:val="0"/>
          <w:noProof/>
          <w:sz w:val="22"/>
          <w:szCs w:val="22"/>
          <w:lang w:eastAsia="en-GB" w:bidi="ar-SA"/>
        </w:rPr>
      </w:pPr>
      <w:hyperlink w:anchor="_Toc526338058" w:history="1">
        <w:r w:rsidR="005324ED" w:rsidRPr="00690948">
          <w:rPr>
            <w:rStyle w:val="Hyperlink"/>
            <w:noProof/>
          </w:rPr>
          <w:t>2.1.2 Hazard and dietary exposure assessment conclusions</w:t>
        </w:r>
        <w:r w:rsidR="005324ED">
          <w:rPr>
            <w:noProof/>
            <w:webHidden/>
          </w:rPr>
          <w:tab/>
        </w:r>
        <w:r w:rsidR="005324ED">
          <w:rPr>
            <w:noProof/>
            <w:webHidden/>
          </w:rPr>
          <w:fldChar w:fldCharType="begin"/>
        </w:r>
        <w:r w:rsidR="005324ED">
          <w:rPr>
            <w:noProof/>
            <w:webHidden/>
          </w:rPr>
          <w:instrText xml:space="preserve"> PAGEREF _Toc526338058 \h </w:instrText>
        </w:r>
        <w:r w:rsidR="005324ED">
          <w:rPr>
            <w:noProof/>
            <w:webHidden/>
          </w:rPr>
        </w:r>
        <w:r w:rsidR="005324ED">
          <w:rPr>
            <w:noProof/>
            <w:webHidden/>
          </w:rPr>
          <w:fldChar w:fldCharType="separate"/>
        </w:r>
        <w:r w:rsidR="00150432">
          <w:rPr>
            <w:noProof/>
            <w:webHidden/>
          </w:rPr>
          <w:t>6</w:t>
        </w:r>
        <w:r w:rsidR="005324ED">
          <w:rPr>
            <w:noProof/>
            <w:webHidden/>
          </w:rPr>
          <w:fldChar w:fldCharType="end"/>
        </w:r>
      </w:hyperlink>
    </w:p>
    <w:p w14:paraId="122F4885" w14:textId="3830C21C" w:rsidR="005324ED" w:rsidRDefault="00B24349">
      <w:pPr>
        <w:pStyle w:val="TOC2"/>
        <w:tabs>
          <w:tab w:val="left" w:pos="880"/>
          <w:tab w:val="right" w:leader="dot" w:pos="9060"/>
        </w:tabs>
        <w:rPr>
          <w:rFonts w:eastAsiaTheme="minorEastAsia" w:cstheme="minorBidi"/>
          <w:smallCaps w:val="0"/>
          <w:noProof/>
          <w:sz w:val="22"/>
          <w:szCs w:val="22"/>
          <w:lang w:eastAsia="en-GB" w:bidi="ar-SA"/>
        </w:rPr>
      </w:pPr>
      <w:hyperlink w:anchor="_Toc526338059" w:history="1">
        <w:r w:rsidR="005324ED" w:rsidRPr="00690948">
          <w:rPr>
            <w:rStyle w:val="Hyperlink"/>
            <w:noProof/>
          </w:rPr>
          <w:t>2.2</w:t>
        </w:r>
        <w:r w:rsidR="005324ED">
          <w:rPr>
            <w:rFonts w:eastAsiaTheme="minorEastAsia" w:cstheme="minorBidi"/>
            <w:smallCaps w:val="0"/>
            <w:noProof/>
            <w:sz w:val="22"/>
            <w:szCs w:val="22"/>
            <w:lang w:eastAsia="en-GB" w:bidi="ar-SA"/>
          </w:rPr>
          <w:tab/>
        </w:r>
        <w:r w:rsidR="005324ED" w:rsidRPr="00690948">
          <w:rPr>
            <w:rStyle w:val="Hyperlink"/>
            <w:noProof/>
          </w:rPr>
          <w:t>Risk management decision</w:t>
        </w:r>
        <w:r w:rsidR="005324ED">
          <w:rPr>
            <w:noProof/>
            <w:webHidden/>
          </w:rPr>
          <w:tab/>
        </w:r>
        <w:r w:rsidR="005324ED">
          <w:rPr>
            <w:noProof/>
            <w:webHidden/>
          </w:rPr>
          <w:fldChar w:fldCharType="begin"/>
        </w:r>
        <w:r w:rsidR="005324ED">
          <w:rPr>
            <w:noProof/>
            <w:webHidden/>
          </w:rPr>
          <w:instrText xml:space="preserve"> PAGEREF _Toc526338059 \h </w:instrText>
        </w:r>
        <w:r w:rsidR="005324ED">
          <w:rPr>
            <w:noProof/>
            <w:webHidden/>
          </w:rPr>
        </w:r>
        <w:r w:rsidR="005324ED">
          <w:rPr>
            <w:noProof/>
            <w:webHidden/>
          </w:rPr>
          <w:fldChar w:fldCharType="separate"/>
        </w:r>
        <w:r w:rsidR="00150432">
          <w:rPr>
            <w:noProof/>
            <w:webHidden/>
          </w:rPr>
          <w:t>7</w:t>
        </w:r>
        <w:r w:rsidR="005324ED">
          <w:rPr>
            <w:noProof/>
            <w:webHidden/>
          </w:rPr>
          <w:fldChar w:fldCharType="end"/>
        </w:r>
      </w:hyperlink>
    </w:p>
    <w:p w14:paraId="3AFDD9E7" w14:textId="522A428A" w:rsidR="005324ED" w:rsidRDefault="00B24349">
      <w:pPr>
        <w:pStyle w:val="TOC3"/>
        <w:tabs>
          <w:tab w:val="right" w:leader="dot" w:pos="9060"/>
        </w:tabs>
        <w:rPr>
          <w:rFonts w:eastAsiaTheme="minorEastAsia" w:cstheme="minorBidi"/>
          <w:i w:val="0"/>
          <w:iCs w:val="0"/>
          <w:noProof/>
          <w:sz w:val="22"/>
          <w:szCs w:val="22"/>
          <w:lang w:eastAsia="en-GB" w:bidi="ar-SA"/>
        </w:rPr>
      </w:pPr>
      <w:hyperlink w:anchor="_Toc526338060" w:history="1">
        <w:r w:rsidR="005324ED" w:rsidRPr="00690948">
          <w:rPr>
            <w:rStyle w:val="Hyperlink"/>
            <w:noProof/>
          </w:rPr>
          <w:t>2.2.1 Labelling requirements</w:t>
        </w:r>
        <w:r w:rsidR="005324ED">
          <w:rPr>
            <w:noProof/>
            <w:webHidden/>
          </w:rPr>
          <w:tab/>
        </w:r>
        <w:r w:rsidR="005324ED">
          <w:rPr>
            <w:noProof/>
            <w:webHidden/>
          </w:rPr>
          <w:fldChar w:fldCharType="begin"/>
        </w:r>
        <w:r w:rsidR="005324ED">
          <w:rPr>
            <w:noProof/>
            <w:webHidden/>
          </w:rPr>
          <w:instrText xml:space="preserve"> PAGEREF _Toc526338060 \h </w:instrText>
        </w:r>
        <w:r w:rsidR="005324ED">
          <w:rPr>
            <w:noProof/>
            <w:webHidden/>
          </w:rPr>
        </w:r>
        <w:r w:rsidR="005324ED">
          <w:rPr>
            <w:noProof/>
            <w:webHidden/>
          </w:rPr>
          <w:fldChar w:fldCharType="separate"/>
        </w:r>
        <w:r w:rsidR="00150432">
          <w:rPr>
            <w:noProof/>
            <w:webHidden/>
          </w:rPr>
          <w:t>7</w:t>
        </w:r>
        <w:r w:rsidR="005324ED">
          <w:rPr>
            <w:noProof/>
            <w:webHidden/>
          </w:rPr>
          <w:fldChar w:fldCharType="end"/>
        </w:r>
      </w:hyperlink>
    </w:p>
    <w:p w14:paraId="379D469D" w14:textId="64DBF8EB" w:rsidR="005324ED" w:rsidRDefault="00B24349">
      <w:pPr>
        <w:pStyle w:val="TOC2"/>
        <w:tabs>
          <w:tab w:val="left" w:pos="880"/>
          <w:tab w:val="right" w:leader="dot" w:pos="9060"/>
        </w:tabs>
        <w:rPr>
          <w:rFonts w:eastAsiaTheme="minorEastAsia" w:cstheme="minorBidi"/>
          <w:smallCaps w:val="0"/>
          <w:noProof/>
          <w:sz w:val="22"/>
          <w:szCs w:val="22"/>
          <w:lang w:eastAsia="en-GB" w:bidi="ar-SA"/>
        </w:rPr>
      </w:pPr>
      <w:hyperlink w:anchor="_Toc526338061" w:history="1">
        <w:r w:rsidR="005324ED" w:rsidRPr="00690948">
          <w:rPr>
            <w:rStyle w:val="Hyperlink"/>
            <w:noProof/>
          </w:rPr>
          <w:t>2.3</w:t>
        </w:r>
        <w:r w:rsidR="005324ED">
          <w:rPr>
            <w:rFonts w:eastAsiaTheme="minorEastAsia" w:cstheme="minorBidi"/>
            <w:smallCaps w:val="0"/>
            <w:noProof/>
            <w:sz w:val="22"/>
            <w:szCs w:val="22"/>
            <w:lang w:eastAsia="en-GB" w:bidi="ar-SA"/>
          </w:rPr>
          <w:tab/>
        </w:r>
        <w:r w:rsidR="005324ED" w:rsidRPr="00690948">
          <w:rPr>
            <w:rStyle w:val="Hyperlink"/>
            <w:noProof/>
          </w:rPr>
          <w:t>Risk communication</w:t>
        </w:r>
        <w:r w:rsidR="005324ED">
          <w:rPr>
            <w:noProof/>
            <w:webHidden/>
          </w:rPr>
          <w:tab/>
        </w:r>
        <w:r w:rsidR="005324ED">
          <w:rPr>
            <w:noProof/>
            <w:webHidden/>
          </w:rPr>
          <w:fldChar w:fldCharType="begin"/>
        </w:r>
        <w:r w:rsidR="005324ED">
          <w:rPr>
            <w:noProof/>
            <w:webHidden/>
          </w:rPr>
          <w:instrText xml:space="preserve"> PAGEREF _Toc526338061 \h </w:instrText>
        </w:r>
        <w:r w:rsidR="005324ED">
          <w:rPr>
            <w:noProof/>
            <w:webHidden/>
          </w:rPr>
        </w:r>
        <w:r w:rsidR="005324ED">
          <w:rPr>
            <w:noProof/>
            <w:webHidden/>
          </w:rPr>
          <w:fldChar w:fldCharType="separate"/>
        </w:r>
        <w:r w:rsidR="00150432">
          <w:rPr>
            <w:noProof/>
            <w:webHidden/>
          </w:rPr>
          <w:t>7</w:t>
        </w:r>
        <w:r w:rsidR="005324ED">
          <w:rPr>
            <w:noProof/>
            <w:webHidden/>
          </w:rPr>
          <w:fldChar w:fldCharType="end"/>
        </w:r>
      </w:hyperlink>
    </w:p>
    <w:p w14:paraId="27AACAC1" w14:textId="41A75732" w:rsidR="005324ED" w:rsidRDefault="00B24349">
      <w:pPr>
        <w:pStyle w:val="TOC3"/>
        <w:tabs>
          <w:tab w:val="left" w:pos="1100"/>
          <w:tab w:val="right" w:leader="dot" w:pos="9060"/>
        </w:tabs>
        <w:rPr>
          <w:rFonts w:eastAsiaTheme="minorEastAsia" w:cstheme="minorBidi"/>
          <w:i w:val="0"/>
          <w:iCs w:val="0"/>
          <w:noProof/>
          <w:sz w:val="22"/>
          <w:szCs w:val="22"/>
          <w:lang w:eastAsia="en-GB" w:bidi="ar-SA"/>
        </w:rPr>
      </w:pPr>
      <w:hyperlink w:anchor="_Toc526338062" w:history="1">
        <w:r w:rsidR="005324ED" w:rsidRPr="00690948">
          <w:rPr>
            <w:rStyle w:val="Hyperlink"/>
            <w:noProof/>
          </w:rPr>
          <w:t>2.3.1</w:t>
        </w:r>
        <w:r w:rsidR="005324ED">
          <w:rPr>
            <w:rFonts w:eastAsiaTheme="minorEastAsia" w:cstheme="minorBidi"/>
            <w:i w:val="0"/>
            <w:iCs w:val="0"/>
            <w:noProof/>
            <w:sz w:val="22"/>
            <w:szCs w:val="22"/>
            <w:lang w:eastAsia="en-GB" w:bidi="ar-SA"/>
          </w:rPr>
          <w:tab/>
        </w:r>
        <w:r w:rsidR="005324ED" w:rsidRPr="00690948">
          <w:rPr>
            <w:rStyle w:val="Hyperlink"/>
            <w:noProof/>
          </w:rPr>
          <w:t>Consultation</w:t>
        </w:r>
        <w:r w:rsidR="005324ED">
          <w:rPr>
            <w:noProof/>
            <w:webHidden/>
          </w:rPr>
          <w:tab/>
        </w:r>
        <w:r w:rsidR="005324ED">
          <w:rPr>
            <w:noProof/>
            <w:webHidden/>
          </w:rPr>
          <w:fldChar w:fldCharType="begin"/>
        </w:r>
        <w:r w:rsidR="005324ED">
          <w:rPr>
            <w:noProof/>
            <w:webHidden/>
          </w:rPr>
          <w:instrText xml:space="preserve"> PAGEREF _Toc526338062 \h </w:instrText>
        </w:r>
        <w:r w:rsidR="005324ED">
          <w:rPr>
            <w:noProof/>
            <w:webHidden/>
          </w:rPr>
        </w:r>
        <w:r w:rsidR="005324ED">
          <w:rPr>
            <w:noProof/>
            <w:webHidden/>
          </w:rPr>
          <w:fldChar w:fldCharType="separate"/>
        </w:r>
        <w:r w:rsidR="00150432">
          <w:rPr>
            <w:noProof/>
            <w:webHidden/>
          </w:rPr>
          <w:t>7</w:t>
        </w:r>
        <w:r w:rsidR="005324ED">
          <w:rPr>
            <w:noProof/>
            <w:webHidden/>
          </w:rPr>
          <w:fldChar w:fldCharType="end"/>
        </w:r>
      </w:hyperlink>
    </w:p>
    <w:p w14:paraId="5E312029" w14:textId="786CB008" w:rsidR="005324ED" w:rsidRDefault="00B24349">
      <w:pPr>
        <w:pStyle w:val="TOC3"/>
        <w:tabs>
          <w:tab w:val="left" w:pos="1100"/>
          <w:tab w:val="right" w:leader="dot" w:pos="9060"/>
        </w:tabs>
        <w:rPr>
          <w:rFonts w:eastAsiaTheme="minorEastAsia" w:cstheme="minorBidi"/>
          <w:i w:val="0"/>
          <w:iCs w:val="0"/>
          <w:noProof/>
          <w:sz w:val="22"/>
          <w:szCs w:val="22"/>
          <w:lang w:eastAsia="en-GB" w:bidi="ar-SA"/>
        </w:rPr>
      </w:pPr>
      <w:hyperlink w:anchor="_Toc526338063" w:history="1">
        <w:r w:rsidR="005324ED" w:rsidRPr="00690948">
          <w:rPr>
            <w:rStyle w:val="Hyperlink"/>
            <w:noProof/>
          </w:rPr>
          <w:t>2.3.2</w:t>
        </w:r>
        <w:r w:rsidR="005324ED">
          <w:rPr>
            <w:rFonts w:eastAsiaTheme="minorEastAsia" w:cstheme="minorBidi"/>
            <w:i w:val="0"/>
            <w:iCs w:val="0"/>
            <w:noProof/>
            <w:sz w:val="22"/>
            <w:szCs w:val="22"/>
            <w:lang w:eastAsia="en-GB" w:bidi="ar-SA"/>
          </w:rPr>
          <w:tab/>
        </w:r>
        <w:r w:rsidR="005324ED" w:rsidRPr="00690948">
          <w:rPr>
            <w:rStyle w:val="Hyperlink"/>
            <w:noProof/>
          </w:rPr>
          <w:t>World Trade Organization</w:t>
        </w:r>
        <w:r w:rsidR="005324ED">
          <w:rPr>
            <w:noProof/>
            <w:webHidden/>
          </w:rPr>
          <w:tab/>
        </w:r>
        <w:r w:rsidR="005324ED">
          <w:rPr>
            <w:noProof/>
            <w:webHidden/>
          </w:rPr>
          <w:fldChar w:fldCharType="begin"/>
        </w:r>
        <w:r w:rsidR="005324ED">
          <w:rPr>
            <w:noProof/>
            <w:webHidden/>
          </w:rPr>
          <w:instrText xml:space="preserve"> PAGEREF _Toc526338063 \h </w:instrText>
        </w:r>
        <w:r w:rsidR="005324ED">
          <w:rPr>
            <w:noProof/>
            <w:webHidden/>
          </w:rPr>
        </w:r>
        <w:r w:rsidR="005324ED">
          <w:rPr>
            <w:noProof/>
            <w:webHidden/>
          </w:rPr>
          <w:fldChar w:fldCharType="separate"/>
        </w:r>
        <w:r w:rsidR="00150432">
          <w:rPr>
            <w:noProof/>
            <w:webHidden/>
          </w:rPr>
          <w:t>8</w:t>
        </w:r>
        <w:r w:rsidR="005324ED">
          <w:rPr>
            <w:noProof/>
            <w:webHidden/>
          </w:rPr>
          <w:fldChar w:fldCharType="end"/>
        </w:r>
      </w:hyperlink>
    </w:p>
    <w:p w14:paraId="1DAB9AC4" w14:textId="235A1A38" w:rsidR="005324ED" w:rsidRDefault="00B24349">
      <w:pPr>
        <w:pStyle w:val="TOC2"/>
        <w:tabs>
          <w:tab w:val="left" w:pos="880"/>
          <w:tab w:val="right" w:leader="dot" w:pos="9060"/>
        </w:tabs>
        <w:rPr>
          <w:rFonts w:eastAsiaTheme="minorEastAsia" w:cstheme="minorBidi"/>
          <w:smallCaps w:val="0"/>
          <w:noProof/>
          <w:sz w:val="22"/>
          <w:szCs w:val="22"/>
          <w:lang w:eastAsia="en-GB" w:bidi="ar-SA"/>
        </w:rPr>
      </w:pPr>
      <w:hyperlink w:anchor="_Toc526338064" w:history="1">
        <w:r w:rsidR="005324ED" w:rsidRPr="00690948">
          <w:rPr>
            <w:rStyle w:val="Hyperlink"/>
            <w:noProof/>
          </w:rPr>
          <w:t>2.4</w:t>
        </w:r>
        <w:r w:rsidR="005324ED">
          <w:rPr>
            <w:rFonts w:eastAsiaTheme="minorEastAsia" w:cstheme="minorBidi"/>
            <w:smallCaps w:val="0"/>
            <w:noProof/>
            <w:sz w:val="22"/>
            <w:szCs w:val="22"/>
            <w:lang w:eastAsia="en-GB" w:bidi="ar-SA"/>
          </w:rPr>
          <w:tab/>
        </w:r>
        <w:r w:rsidR="005324ED" w:rsidRPr="00690948">
          <w:rPr>
            <w:rStyle w:val="Hyperlink"/>
            <w:noProof/>
          </w:rPr>
          <w:t>FSANZ Act assessment requirements</w:t>
        </w:r>
        <w:r w:rsidR="005324ED">
          <w:rPr>
            <w:noProof/>
            <w:webHidden/>
          </w:rPr>
          <w:tab/>
        </w:r>
        <w:r w:rsidR="005324ED">
          <w:rPr>
            <w:noProof/>
            <w:webHidden/>
          </w:rPr>
          <w:fldChar w:fldCharType="begin"/>
        </w:r>
        <w:r w:rsidR="005324ED">
          <w:rPr>
            <w:noProof/>
            <w:webHidden/>
          </w:rPr>
          <w:instrText xml:space="preserve"> PAGEREF _Toc526338064 \h </w:instrText>
        </w:r>
        <w:r w:rsidR="005324ED">
          <w:rPr>
            <w:noProof/>
            <w:webHidden/>
          </w:rPr>
        </w:r>
        <w:r w:rsidR="005324ED">
          <w:rPr>
            <w:noProof/>
            <w:webHidden/>
          </w:rPr>
          <w:fldChar w:fldCharType="separate"/>
        </w:r>
        <w:r w:rsidR="00150432">
          <w:rPr>
            <w:noProof/>
            <w:webHidden/>
          </w:rPr>
          <w:t>8</w:t>
        </w:r>
        <w:r w:rsidR="005324ED">
          <w:rPr>
            <w:noProof/>
            <w:webHidden/>
          </w:rPr>
          <w:fldChar w:fldCharType="end"/>
        </w:r>
      </w:hyperlink>
    </w:p>
    <w:p w14:paraId="5B5D0AD2" w14:textId="412743D7" w:rsidR="005324ED" w:rsidRDefault="00B24349">
      <w:pPr>
        <w:pStyle w:val="TOC3"/>
        <w:tabs>
          <w:tab w:val="left" w:pos="1100"/>
          <w:tab w:val="right" w:leader="dot" w:pos="9060"/>
        </w:tabs>
        <w:rPr>
          <w:rFonts w:eastAsiaTheme="minorEastAsia" w:cstheme="minorBidi"/>
          <w:i w:val="0"/>
          <w:iCs w:val="0"/>
          <w:noProof/>
          <w:sz w:val="22"/>
          <w:szCs w:val="22"/>
          <w:lang w:eastAsia="en-GB" w:bidi="ar-SA"/>
        </w:rPr>
      </w:pPr>
      <w:hyperlink w:anchor="_Toc526338065" w:history="1">
        <w:r w:rsidR="005324ED" w:rsidRPr="00690948">
          <w:rPr>
            <w:rStyle w:val="Hyperlink"/>
            <w:noProof/>
          </w:rPr>
          <w:t>2.4.1</w:t>
        </w:r>
        <w:r w:rsidR="005324ED">
          <w:rPr>
            <w:rFonts w:eastAsiaTheme="minorEastAsia" w:cstheme="minorBidi"/>
            <w:i w:val="0"/>
            <w:iCs w:val="0"/>
            <w:noProof/>
            <w:sz w:val="22"/>
            <w:szCs w:val="22"/>
            <w:lang w:eastAsia="en-GB" w:bidi="ar-SA"/>
          </w:rPr>
          <w:tab/>
        </w:r>
        <w:r w:rsidR="005324ED" w:rsidRPr="00690948">
          <w:rPr>
            <w:rStyle w:val="Hyperlink"/>
            <w:noProof/>
          </w:rPr>
          <w:t>Section 29</w:t>
        </w:r>
        <w:r w:rsidR="005324ED">
          <w:rPr>
            <w:noProof/>
            <w:webHidden/>
          </w:rPr>
          <w:tab/>
        </w:r>
        <w:r w:rsidR="005324ED">
          <w:rPr>
            <w:noProof/>
            <w:webHidden/>
          </w:rPr>
          <w:fldChar w:fldCharType="begin"/>
        </w:r>
        <w:r w:rsidR="005324ED">
          <w:rPr>
            <w:noProof/>
            <w:webHidden/>
          </w:rPr>
          <w:instrText xml:space="preserve"> PAGEREF _Toc526338065 \h </w:instrText>
        </w:r>
        <w:r w:rsidR="005324ED">
          <w:rPr>
            <w:noProof/>
            <w:webHidden/>
          </w:rPr>
        </w:r>
        <w:r w:rsidR="005324ED">
          <w:rPr>
            <w:noProof/>
            <w:webHidden/>
          </w:rPr>
          <w:fldChar w:fldCharType="separate"/>
        </w:r>
        <w:r w:rsidR="00150432">
          <w:rPr>
            <w:noProof/>
            <w:webHidden/>
          </w:rPr>
          <w:t>8</w:t>
        </w:r>
        <w:r w:rsidR="005324ED">
          <w:rPr>
            <w:noProof/>
            <w:webHidden/>
          </w:rPr>
          <w:fldChar w:fldCharType="end"/>
        </w:r>
      </w:hyperlink>
    </w:p>
    <w:p w14:paraId="1B750E48" w14:textId="4AF0EE24" w:rsidR="005324ED" w:rsidRDefault="00B24349">
      <w:pPr>
        <w:pStyle w:val="TOC3"/>
        <w:tabs>
          <w:tab w:val="left" w:pos="1320"/>
          <w:tab w:val="right" w:leader="dot" w:pos="9060"/>
        </w:tabs>
        <w:rPr>
          <w:rFonts w:eastAsiaTheme="minorEastAsia" w:cstheme="minorBidi"/>
          <w:i w:val="0"/>
          <w:iCs w:val="0"/>
          <w:noProof/>
          <w:sz w:val="22"/>
          <w:szCs w:val="22"/>
          <w:lang w:eastAsia="en-GB" w:bidi="ar-SA"/>
        </w:rPr>
      </w:pPr>
      <w:hyperlink w:anchor="_Toc526338066" w:history="1">
        <w:r w:rsidR="005324ED" w:rsidRPr="00690948">
          <w:rPr>
            <w:rStyle w:val="Hyperlink"/>
            <w:noProof/>
          </w:rPr>
          <w:t>2.4.2.</w:t>
        </w:r>
        <w:r w:rsidR="005324ED">
          <w:rPr>
            <w:rFonts w:eastAsiaTheme="minorEastAsia" w:cstheme="minorBidi"/>
            <w:i w:val="0"/>
            <w:iCs w:val="0"/>
            <w:noProof/>
            <w:sz w:val="22"/>
            <w:szCs w:val="22"/>
            <w:lang w:eastAsia="en-GB" w:bidi="ar-SA"/>
          </w:rPr>
          <w:tab/>
        </w:r>
        <w:r w:rsidR="005324ED" w:rsidRPr="00690948">
          <w:rPr>
            <w:rStyle w:val="Hyperlink"/>
            <w:noProof/>
          </w:rPr>
          <w:t>Subsection 18(1)</w:t>
        </w:r>
        <w:r w:rsidR="005324ED">
          <w:rPr>
            <w:noProof/>
            <w:webHidden/>
          </w:rPr>
          <w:tab/>
        </w:r>
        <w:r w:rsidR="005324ED">
          <w:rPr>
            <w:noProof/>
            <w:webHidden/>
          </w:rPr>
          <w:fldChar w:fldCharType="begin"/>
        </w:r>
        <w:r w:rsidR="005324ED">
          <w:rPr>
            <w:noProof/>
            <w:webHidden/>
          </w:rPr>
          <w:instrText xml:space="preserve"> PAGEREF _Toc526338066 \h </w:instrText>
        </w:r>
        <w:r w:rsidR="005324ED">
          <w:rPr>
            <w:noProof/>
            <w:webHidden/>
          </w:rPr>
        </w:r>
        <w:r w:rsidR="005324ED">
          <w:rPr>
            <w:noProof/>
            <w:webHidden/>
          </w:rPr>
          <w:fldChar w:fldCharType="separate"/>
        </w:r>
        <w:r w:rsidR="00150432">
          <w:rPr>
            <w:noProof/>
            <w:webHidden/>
          </w:rPr>
          <w:t>9</w:t>
        </w:r>
        <w:r w:rsidR="005324ED">
          <w:rPr>
            <w:noProof/>
            <w:webHidden/>
          </w:rPr>
          <w:fldChar w:fldCharType="end"/>
        </w:r>
      </w:hyperlink>
    </w:p>
    <w:p w14:paraId="74B19A86" w14:textId="6D643E5F" w:rsidR="005324ED" w:rsidRDefault="00B24349">
      <w:pPr>
        <w:pStyle w:val="TOC3"/>
        <w:tabs>
          <w:tab w:val="left" w:pos="1100"/>
          <w:tab w:val="right" w:leader="dot" w:pos="9060"/>
        </w:tabs>
        <w:rPr>
          <w:rFonts w:eastAsiaTheme="minorEastAsia" w:cstheme="minorBidi"/>
          <w:i w:val="0"/>
          <w:iCs w:val="0"/>
          <w:noProof/>
          <w:sz w:val="22"/>
          <w:szCs w:val="22"/>
          <w:lang w:eastAsia="en-GB" w:bidi="ar-SA"/>
        </w:rPr>
      </w:pPr>
      <w:hyperlink w:anchor="_Toc526338067" w:history="1">
        <w:r w:rsidR="005324ED" w:rsidRPr="00690948">
          <w:rPr>
            <w:rStyle w:val="Hyperlink"/>
            <w:noProof/>
          </w:rPr>
          <w:t>2.4.3</w:t>
        </w:r>
        <w:r w:rsidR="005324ED">
          <w:rPr>
            <w:rFonts w:eastAsiaTheme="minorEastAsia" w:cstheme="minorBidi"/>
            <w:i w:val="0"/>
            <w:iCs w:val="0"/>
            <w:noProof/>
            <w:sz w:val="22"/>
            <w:szCs w:val="22"/>
            <w:lang w:eastAsia="en-GB" w:bidi="ar-SA"/>
          </w:rPr>
          <w:tab/>
        </w:r>
        <w:r w:rsidR="005324ED" w:rsidRPr="00690948">
          <w:rPr>
            <w:rStyle w:val="Hyperlink"/>
            <w:noProof/>
          </w:rPr>
          <w:t>Subsection 18(2) considerations</w:t>
        </w:r>
        <w:r w:rsidR="005324ED">
          <w:rPr>
            <w:noProof/>
            <w:webHidden/>
          </w:rPr>
          <w:tab/>
        </w:r>
        <w:r w:rsidR="005324ED">
          <w:rPr>
            <w:noProof/>
            <w:webHidden/>
          </w:rPr>
          <w:fldChar w:fldCharType="begin"/>
        </w:r>
        <w:r w:rsidR="005324ED">
          <w:rPr>
            <w:noProof/>
            <w:webHidden/>
          </w:rPr>
          <w:instrText xml:space="preserve"> PAGEREF _Toc526338067 \h </w:instrText>
        </w:r>
        <w:r w:rsidR="005324ED">
          <w:rPr>
            <w:noProof/>
            <w:webHidden/>
          </w:rPr>
        </w:r>
        <w:r w:rsidR="005324ED">
          <w:rPr>
            <w:noProof/>
            <w:webHidden/>
          </w:rPr>
          <w:fldChar w:fldCharType="separate"/>
        </w:r>
        <w:r w:rsidR="00150432">
          <w:rPr>
            <w:noProof/>
            <w:webHidden/>
          </w:rPr>
          <w:t>10</w:t>
        </w:r>
        <w:r w:rsidR="005324ED">
          <w:rPr>
            <w:noProof/>
            <w:webHidden/>
          </w:rPr>
          <w:fldChar w:fldCharType="end"/>
        </w:r>
      </w:hyperlink>
    </w:p>
    <w:p w14:paraId="5C81F3A0" w14:textId="22E36119" w:rsidR="005324ED" w:rsidRDefault="00B24349">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338068" w:history="1">
        <w:r w:rsidR="005324ED" w:rsidRPr="00690948">
          <w:rPr>
            <w:rStyle w:val="Hyperlink"/>
            <w:noProof/>
          </w:rPr>
          <w:t>3</w:t>
        </w:r>
        <w:r w:rsidR="005324ED">
          <w:rPr>
            <w:rFonts w:eastAsiaTheme="minorEastAsia" w:cstheme="minorBidi"/>
            <w:b w:val="0"/>
            <w:bCs w:val="0"/>
            <w:caps w:val="0"/>
            <w:noProof/>
            <w:sz w:val="22"/>
            <w:szCs w:val="22"/>
            <w:lang w:eastAsia="en-GB" w:bidi="ar-SA"/>
          </w:rPr>
          <w:tab/>
        </w:r>
        <w:r w:rsidR="005324ED" w:rsidRPr="00690948">
          <w:rPr>
            <w:rStyle w:val="Hyperlink"/>
            <w:noProof/>
          </w:rPr>
          <w:t>Draft variation</w:t>
        </w:r>
        <w:r w:rsidR="005324ED">
          <w:rPr>
            <w:noProof/>
            <w:webHidden/>
          </w:rPr>
          <w:tab/>
        </w:r>
        <w:r w:rsidR="005324ED">
          <w:rPr>
            <w:noProof/>
            <w:webHidden/>
          </w:rPr>
          <w:fldChar w:fldCharType="begin"/>
        </w:r>
        <w:r w:rsidR="005324ED">
          <w:rPr>
            <w:noProof/>
            <w:webHidden/>
          </w:rPr>
          <w:instrText xml:space="preserve"> PAGEREF _Toc526338068 \h </w:instrText>
        </w:r>
        <w:r w:rsidR="005324ED">
          <w:rPr>
            <w:noProof/>
            <w:webHidden/>
          </w:rPr>
        </w:r>
        <w:r w:rsidR="005324ED">
          <w:rPr>
            <w:noProof/>
            <w:webHidden/>
          </w:rPr>
          <w:fldChar w:fldCharType="separate"/>
        </w:r>
        <w:r w:rsidR="00150432">
          <w:rPr>
            <w:noProof/>
            <w:webHidden/>
          </w:rPr>
          <w:t>11</w:t>
        </w:r>
        <w:r w:rsidR="005324ED">
          <w:rPr>
            <w:noProof/>
            <w:webHidden/>
          </w:rPr>
          <w:fldChar w:fldCharType="end"/>
        </w:r>
      </w:hyperlink>
    </w:p>
    <w:p w14:paraId="006C1F2A" w14:textId="03D56AFF" w:rsidR="005324ED" w:rsidRDefault="00B24349">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338069" w:history="1">
        <w:r w:rsidR="005324ED" w:rsidRPr="00690948">
          <w:rPr>
            <w:rStyle w:val="Hyperlink"/>
            <w:noProof/>
          </w:rPr>
          <w:t>4</w:t>
        </w:r>
        <w:r w:rsidR="005324ED">
          <w:rPr>
            <w:rFonts w:eastAsiaTheme="minorEastAsia" w:cstheme="minorBidi"/>
            <w:b w:val="0"/>
            <w:bCs w:val="0"/>
            <w:caps w:val="0"/>
            <w:noProof/>
            <w:sz w:val="22"/>
            <w:szCs w:val="22"/>
            <w:lang w:eastAsia="en-GB" w:bidi="ar-SA"/>
          </w:rPr>
          <w:tab/>
        </w:r>
        <w:r w:rsidR="005324ED" w:rsidRPr="00690948">
          <w:rPr>
            <w:rStyle w:val="Hyperlink"/>
            <w:noProof/>
          </w:rPr>
          <w:t>References</w:t>
        </w:r>
        <w:r w:rsidR="005324ED">
          <w:rPr>
            <w:noProof/>
            <w:webHidden/>
          </w:rPr>
          <w:tab/>
        </w:r>
        <w:r w:rsidR="005324ED">
          <w:rPr>
            <w:noProof/>
            <w:webHidden/>
          </w:rPr>
          <w:fldChar w:fldCharType="begin"/>
        </w:r>
        <w:r w:rsidR="005324ED">
          <w:rPr>
            <w:noProof/>
            <w:webHidden/>
          </w:rPr>
          <w:instrText xml:space="preserve"> PAGEREF _Toc526338069 \h </w:instrText>
        </w:r>
        <w:r w:rsidR="005324ED">
          <w:rPr>
            <w:noProof/>
            <w:webHidden/>
          </w:rPr>
        </w:r>
        <w:r w:rsidR="005324ED">
          <w:rPr>
            <w:noProof/>
            <w:webHidden/>
          </w:rPr>
          <w:fldChar w:fldCharType="separate"/>
        </w:r>
        <w:r w:rsidR="00150432">
          <w:rPr>
            <w:noProof/>
            <w:webHidden/>
          </w:rPr>
          <w:t>11</w:t>
        </w:r>
        <w:r w:rsidR="005324ED">
          <w:rPr>
            <w:noProof/>
            <w:webHidden/>
          </w:rPr>
          <w:fldChar w:fldCharType="end"/>
        </w:r>
      </w:hyperlink>
    </w:p>
    <w:p w14:paraId="4EF44029" w14:textId="311BDD5C" w:rsidR="005324ED" w:rsidRDefault="00B24349">
      <w:pPr>
        <w:pStyle w:val="TOC2"/>
        <w:tabs>
          <w:tab w:val="right" w:leader="dot" w:pos="9060"/>
        </w:tabs>
        <w:rPr>
          <w:rFonts w:eastAsiaTheme="minorEastAsia" w:cstheme="minorBidi"/>
          <w:smallCaps w:val="0"/>
          <w:noProof/>
          <w:sz w:val="22"/>
          <w:szCs w:val="22"/>
          <w:lang w:eastAsia="en-GB" w:bidi="ar-SA"/>
        </w:rPr>
      </w:pPr>
      <w:hyperlink w:anchor="_Toc526338070" w:history="1">
        <w:r w:rsidR="005324ED" w:rsidRPr="00690948">
          <w:rPr>
            <w:rStyle w:val="Hyperlink"/>
            <w:noProof/>
          </w:rPr>
          <w:t xml:space="preserve">Attachment A – Draft variation to the </w:t>
        </w:r>
        <w:r w:rsidR="005324ED" w:rsidRPr="00690948">
          <w:rPr>
            <w:rStyle w:val="Hyperlink"/>
            <w:i/>
            <w:noProof/>
          </w:rPr>
          <w:t>Australia New Zealand Food Standards Code</w:t>
        </w:r>
        <w:r w:rsidR="005324ED">
          <w:rPr>
            <w:noProof/>
            <w:webHidden/>
          </w:rPr>
          <w:tab/>
        </w:r>
        <w:r w:rsidR="005324ED">
          <w:rPr>
            <w:noProof/>
            <w:webHidden/>
          </w:rPr>
          <w:fldChar w:fldCharType="begin"/>
        </w:r>
        <w:r w:rsidR="005324ED">
          <w:rPr>
            <w:noProof/>
            <w:webHidden/>
          </w:rPr>
          <w:instrText xml:space="preserve"> PAGEREF _Toc526338070 \h </w:instrText>
        </w:r>
        <w:r w:rsidR="005324ED">
          <w:rPr>
            <w:noProof/>
            <w:webHidden/>
          </w:rPr>
        </w:r>
        <w:r w:rsidR="005324ED">
          <w:rPr>
            <w:noProof/>
            <w:webHidden/>
          </w:rPr>
          <w:fldChar w:fldCharType="separate"/>
        </w:r>
        <w:r w:rsidR="00150432">
          <w:rPr>
            <w:noProof/>
            <w:webHidden/>
          </w:rPr>
          <w:t>12</w:t>
        </w:r>
        <w:r w:rsidR="005324ED">
          <w:rPr>
            <w:noProof/>
            <w:webHidden/>
          </w:rPr>
          <w:fldChar w:fldCharType="end"/>
        </w:r>
      </w:hyperlink>
    </w:p>
    <w:p w14:paraId="0B4E3DB0" w14:textId="677EEBDF" w:rsidR="005324ED" w:rsidRDefault="00B24349">
      <w:pPr>
        <w:pStyle w:val="TOC2"/>
        <w:tabs>
          <w:tab w:val="right" w:leader="dot" w:pos="9060"/>
        </w:tabs>
        <w:rPr>
          <w:rFonts w:eastAsiaTheme="minorEastAsia" w:cstheme="minorBidi"/>
          <w:smallCaps w:val="0"/>
          <w:noProof/>
          <w:sz w:val="22"/>
          <w:szCs w:val="22"/>
          <w:lang w:eastAsia="en-GB" w:bidi="ar-SA"/>
        </w:rPr>
      </w:pPr>
      <w:hyperlink w:anchor="_Toc526338071" w:history="1">
        <w:r w:rsidR="005324ED" w:rsidRPr="00690948">
          <w:rPr>
            <w:rStyle w:val="Hyperlink"/>
            <w:noProof/>
          </w:rPr>
          <w:t>Attachment B – Draft Explanatory Statement</w:t>
        </w:r>
        <w:r w:rsidR="005324ED">
          <w:rPr>
            <w:noProof/>
            <w:webHidden/>
          </w:rPr>
          <w:tab/>
        </w:r>
        <w:r w:rsidR="005324ED">
          <w:rPr>
            <w:noProof/>
            <w:webHidden/>
          </w:rPr>
          <w:fldChar w:fldCharType="begin"/>
        </w:r>
        <w:r w:rsidR="005324ED">
          <w:rPr>
            <w:noProof/>
            <w:webHidden/>
          </w:rPr>
          <w:instrText xml:space="preserve"> PAGEREF _Toc526338071 \h </w:instrText>
        </w:r>
        <w:r w:rsidR="005324ED">
          <w:rPr>
            <w:noProof/>
            <w:webHidden/>
          </w:rPr>
        </w:r>
        <w:r w:rsidR="005324ED">
          <w:rPr>
            <w:noProof/>
            <w:webHidden/>
          </w:rPr>
          <w:fldChar w:fldCharType="separate"/>
        </w:r>
        <w:r w:rsidR="00150432">
          <w:rPr>
            <w:noProof/>
            <w:webHidden/>
          </w:rPr>
          <w:t>14</w:t>
        </w:r>
        <w:r w:rsidR="005324ED">
          <w:rPr>
            <w:noProof/>
            <w:webHidden/>
          </w:rPr>
          <w:fldChar w:fldCharType="end"/>
        </w:r>
      </w:hyperlink>
    </w:p>
    <w:p w14:paraId="376C249C" w14:textId="4BF97997" w:rsidR="00051ED9" w:rsidRPr="0059227F" w:rsidRDefault="00051ED9" w:rsidP="00051ED9">
      <w:pPr>
        <w:rPr>
          <w:rFonts w:cs="Arial"/>
        </w:rPr>
      </w:pPr>
      <w:r w:rsidRPr="002C4A91">
        <w:rPr>
          <w:rFonts w:cs="Arial"/>
          <w:sz w:val="20"/>
          <w:szCs w:val="20"/>
        </w:rPr>
        <w:fldChar w:fldCharType="end"/>
      </w:r>
    </w:p>
    <w:p w14:paraId="4AC54213" w14:textId="77777777" w:rsidR="00D73931" w:rsidRPr="00E203C2" w:rsidRDefault="00D73931" w:rsidP="00051ED9"/>
    <w:p w14:paraId="0C849EBC" w14:textId="46DD7FA1" w:rsidR="0037520F" w:rsidRPr="008844E4" w:rsidRDefault="0037520F" w:rsidP="0037520F">
      <w:pPr>
        <w:rPr>
          <w:b/>
          <w:szCs w:val="22"/>
        </w:rPr>
      </w:pPr>
      <w:r w:rsidRPr="008844E4">
        <w:rPr>
          <w:b/>
          <w:szCs w:val="22"/>
        </w:rPr>
        <w:lastRenderedPageBreak/>
        <w:t>Supporting document</w:t>
      </w:r>
    </w:p>
    <w:p w14:paraId="56CA3EE1" w14:textId="77777777" w:rsidR="0037520F" w:rsidRPr="0089264A" w:rsidRDefault="0037520F" w:rsidP="0037520F">
      <w:pPr>
        <w:rPr>
          <w:szCs w:val="22"/>
        </w:rPr>
      </w:pPr>
    </w:p>
    <w:p w14:paraId="27DB1A80" w14:textId="14E0B4AE" w:rsidR="0037520F" w:rsidRPr="00435D35" w:rsidRDefault="0037520F" w:rsidP="0037520F">
      <w:pPr>
        <w:rPr>
          <w:szCs w:val="22"/>
        </w:rPr>
      </w:pPr>
      <w:r w:rsidRPr="0089264A">
        <w:rPr>
          <w:szCs w:val="22"/>
        </w:rPr>
        <w:t xml:space="preserve">The </w:t>
      </w:r>
      <w:r w:rsidRPr="00435D35">
        <w:rPr>
          <w:szCs w:val="22"/>
        </w:rPr>
        <w:t>following document</w:t>
      </w:r>
      <w:r w:rsidR="00435D35" w:rsidRPr="00435D35">
        <w:rPr>
          <w:szCs w:val="22"/>
        </w:rPr>
        <w:t xml:space="preserve"> </w:t>
      </w:r>
      <w:r w:rsidR="00681754" w:rsidRPr="00435D35">
        <w:rPr>
          <w:szCs w:val="22"/>
        </w:rPr>
        <w:t xml:space="preserve">which informed the assessment of this </w:t>
      </w:r>
      <w:r w:rsidR="00435D35" w:rsidRPr="00435D35">
        <w:rPr>
          <w:szCs w:val="22"/>
        </w:rPr>
        <w:t>a</w:t>
      </w:r>
      <w:r w:rsidR="00BF23A7" w:rsidRPr="00435D35">
        <w:rPr>
          <w:szCs w:val="22"/>
        </w:rPr>
        <w:t>pplication</w:t>
      </w:r>
      <w:r w:rsidRPr="00435D35">
        <w:rPr>
          <w:szCs w:val="22"/>
        </w:rPr>
        <w:t xml:space="preserve"> </w:t>
      </w:r>
      <w:r w:rsidR="00435D35" w:rsidRPr="00435D35">
        <w:rPr>
          <w:szCs w:val="22"/>
        </w:rPr>
        <w:t>is</w:t>
      </w:r>
      <w:r w:rsidRPr="00435D35">
        <w:rPr>
          <w:szCs w:val="22"/>
        </w:rPr>
        <w:t xml:space="preserve"> available on the FSANZ website</w:t>
      </w:r>
      <w:r w:rsidR="00820535" w:rsidRPr="00435D35">
        <w:rPr>
          <w:szCs w:val="22"/>
        </w:rPr>
        <w:t>:</w:t>
      </w:r>
    </w:p>
    <w:p w14:paraId="1B947565" w14:textId="77777777" w:rsidR="0089264A" w:rsidRPr="00435D35" w:rsidRDefault="0089264A" w:rsidP="0089264A">
      <w:pPr>
        <w:rPr>
          <w:szCs w:val="22"/>
        </w:rPr>
      </w:pPr>
    </w:p>
    <w:p w14:paraId="296875D1" w14:textId="3383D471" w:rsidR="0089264A" w:rsidRPr="00435D35" w:rsidRDefault="0089264A" w:rsidP="003A7725">
      <w:pPr>
        <w:ind w:left="1134" w:hanging="1134"/>
      </w:pPr>
      <w:r w:rsidRPr="00435D35">
        <w:t>SD1</w:t>
      </w:r>
      <w:r w:rsidRPr="00435D35">
        <w:tab/>
      </w:r>
      <w:r w:rsidR="00435D35" w:rsidRPr="00435D35">
        <w:t>Food technology, hazard and dietary exposure assessment</w:t>
      </w:r>
    </w:p>
    <w:p w14:paraId="277C8967" w14:textId="77777777" w:rsidR="00051ED9" w:rsidRDefault="00562917" w:rsidP="00772BDC">
      <w:r w:rsidRPr="00E203C2">
        <w:br w:type="page"/>
      </w:r>
    </w:p>
    <w:p w14:paraId="6FAFE9EA" w14:textId="77777777" w:rsidR="00E063C6" w:rsidRDefault="00F33BB8" w:rsidP="000A5DF8">
      <w:pPr>
        <w:pStyle w:val="Heading1"/>
      </w:pPr>
      <w:bookmarkStart w:id="1" w:name="_Toc286391001"/>
      <w:bookmarkStart w:id="2" w:name="_Toc300933414"/>
      <w:bookmarkStart w:id="3" w:name="_Toc524356777"/>
      <w:bookmarkStart w:id="4" w:name="_Toc526338039"/>
      <w:bookmarkStart w:id="5" w:name="_Toc11735627"/>
      <w:bookmarkStart w:id="6" w:name="_Toc29883110"/>
      <w:bookmarkStart w:id="7" w:name="_Toc41906797"/>
      <w:bookmarkStart w:id="8" w:name="_Toc41907544"/>
      <w:bookmarkStart w:id="9" w:name="_Toc120358575"/>
      <w:r>
        <w:lastRenderedPageBreak/>
        <w:t>E</w:t>
      </w:r>
      <w:r w:rsidR="0037520F">
        <w:t>xecutive s</w:t>
      </w:r>
      <w:r w:rsidR="00E063C6" w:rsidRPr="00E203C2">
        <w:t>ummary</w:t>
      </w:r>
      <w:bookmarkEnd w:id="1"/>
      <w:bookmarkEnd w:id="2"/>
      <w:bookmarkEnd w:id="3"/>
      <w:bookmarkEnd w:id="4"/>
    </w:p>
    <w:p w14:paraId="538A07B0" w14:textId="533D570E" w:rsidR="00F50D78" w:rsidRDefault="00AE1C16" w:rsidP="00527B0F">
      <w:r>
        <w:t xml:space="preserve">Food Standards Australia New Zealand (FSANZ) </w:t>
      </w:r>
      <w:r w:rsidR="00ED0EBF" w:rsidRPr="00ED0EBF">
        <w:t xml:space="preserve">has assessed an </w:t>
      </w:r>
      <w:r w:rsidR="00BF065C">
        <w:t>a</w:t>
      </w:r>
      <w:r w:rsidR="00ED0EBF" w:rsidRPr="00ED0EBF">
        <w:t xml:space="preserve">pplication </w:t>
      </w:r>
      <w:r w:rsidR="00BF065C">
        <w:t>from</w:t>
      </w:r>
      <w:r w:rsidR="000C0453">
        <w:t xml:space="preserve"> the</w:t>
      </w:r>
      <w:r w:rsidR="00ED0EBF" w:rsidRPr="00ED0EBF">
        <w:t xml:space="preserve"> Australian Beverages Council Ltd (ABCL) to permit the addition of steviol glycosides </w:t>
      </w:r>
      <w:r w:rsidR="0045439F">
        <w:t>to</w:t>
      </w:r>
      <w:r w:rsidR="0045439F" w:rsidRPr="00ED0EBF">
        <w:t xml:space="preserve"> </w:t>
      </w:r>
      <w:r w:rsidR="00ED0EBF" w:rsidRPr="00ED0EBF">
        <w:t xml:space="preserve">fruit drinks at a maximum permitted level </w:t>
      </w:r>
      <w:r w:rsidR="0005254E">
        <w:t xml:space="preserve">(MPL) </w:t>
      </w:r>
      <w:r w:rsidR="00ED0EBF" w:rsidRPr="00ED0EBF">
        <w:t>of 200 mg/</w:t>
      </w:r>
      <w:r w:rsidR="00277FE8">
        <w:t>k</w:t>
      </w:r>
      <w:r w:rsidR="00ED0EBF" w:rsidRPr="00ED0EBF">
        <w:t>g steviol equivalents.</w:t>
      </w:r>
    </w:p>
    <w:p w14:paraId="1BF761C5" w14:textId="6B4CCE05" w:rsidR="00047ED0" w:rsidRPr="00ED0EBF" w:rsidRDefault="00047ED0" w:rsidP="00527B0F">
      <w:bookmarkStart w:id="10" w:name="_Toc286391003"/>
    </w:p>
    <w:p w14:paraId="4AB19564" w14:textId="38FEFF93" w:rsidR="00ED0EBF" w:rsidRDefault="00ED0EBF" w:rsidP="00A56E34">
      <w:r>
        <w:t xml:space="preserve">Steviol glycosides provide a technological function as </w:t>
      </w:r>
      <w:r w:rsidR="000D2D54">
        <w:t xml:space="preserve">an </w:t>
      </w:r>
      <w:r>
        <w:t>intense sweetener</w:t>
      </w:r>
      <w:r w:rsidR="000D2D54">
        <w:t xml:space="preserve"> </w:t>
      </w:r>
      <w:r>
        <w:t xml:space="preserve">and are already permitted in a range of foods at various maximum permitted levels, including levels </w:t>
      </w:r>
      <w:r w:rsidR="0010523F">
        <w:t xml:space="preserve">consistent with </w:t>
      </w:r>
      <w:r>
        <w:t>good manufacturing practice</w:t>
      </w:r>
      <w:r w:rsidDel="00266144">
        <w:t>.</w:t>
      </w:r>
      <w:r>
        <w:t xml:space="preserve"> They are not yet permitted in fruit drinks.</w:t>
      </w:r>
    </w:p>
    <w:p w14:paraId="2D05F647" w14:textId="62A97D01" w:rsidR="00ED0EBF" w:rsidRDefault="00ED0EBF" w:rsidP="00A56E34"/>
    <w:p w14:paraId="427027AB" w14:textId="62301309" w:rsidR="00ED0EBF" w:rsidRDefault="00ED0EBF" w:rsidP="00ED0EBF">
      <w:r>
        <w:t xml:space="preserve">Based on the food technology assessment, the use </w:t>
      </w:r>
      <w:r w:rsidR="00EE579E">
        <w:t>of steviol</w:t>
      </w:r>
      <w:r>
        <w:t xml:space="preserve"> glycosides as a food additive in fruit drinks as an intense sweetener is technologically justified in the quantity and form proposed. </w:t>
      </w:r>
    </w:p>
    <w:p w14:paraId="1B2D8B86" w14:textId="42745CF6" w:rsidR="00ED0EBF" w:rsidRDefault="00ED0EBF" w:rsidP="00A56E34"/>
    <w:p w14:paraId="2F0B659B" w14:textId="61FCE04E" w:rsidR="00477A81" w:rsidRDefault="00477A81" w:rsidP="00477A81">
      <w:r>
        <w:t xml:space="preserve">An acceptable daily intake (ADI) of 0-4 mg/kg bw for steviol glycosides, expressed as steviol, was </w:t>
      </w:r>
      <w:r w:rsidR="0045439F">
        <w:t xml:space="preserve">previously </w:t>
      </w:r>
      <w:r>
        <w:t xml:space="preserve">established by </w:t>
      </w:r>
      <w:r w:rsidR="00AE1C16">
        <w:t>FSANZ</w:t>
      </w:r>
      <w:r>
        <w:t xml:space="preserve"> and </w:t>
      </w:r>
      <w:r w:rsidR="0005254E">
        <w:t xml:space="preserve">the </w:t>
      </w:r>
      <w:r>
        <w:rPr>
          <w:lang w:bidi="ar-SA"/>
        </w:rPr>
        <w:t>Joint FAO/WHO Expert Committee on Food Additives (</w:t>
      </w:r>
      <w:r>
        <w:t>JECFA)</w:t>
      </w:r>
      <w:r w:rsidR="00047ED0">
        <w:t xml:space="preserve">. </w:t>
      </w:r>
      <w:r>
        <w:t xml:space="preserve">Toxicological and other relevant data </w:t>
      </w:r>
      <w:r w:rsidRPr="00A32983">
        <w:t xml:space="preserve">published subsequent to FSANZ’s previous assessments </w:t>
      </w:r>
      <w:r>
        <w:t xml:space="preserve">of steviol glycosides </w:t>
      </w:r>
      <w:r w:rsidRPr="00A32983">
        <w:t>raise</w:t>
      </w:r>
      <w:r>
        <w:t>d</w:t>
      </w:r>
      <w:r w:rsidRPr="00A32983">
        <w:t xml:space="preserve"> no concerns </w:t>
      </w:r>
      <w:r w:rsidR="000C0453">
        <w:t xml:space="preserve">about </w:t>
      </w:r>
      <w:r w:rsidRPr="00A32983">
        <w:t>the safety of steviol glycosides and d</w:t>
      </w:r>
      <w:r>
        <w:t>id</w:t>
      </w:r>
      <w:r w:rsidRPr="00A32983">
        <w:t xml:space="preserve"> not indicate a need to </w:t>
      </w:r>
      <w:r>
        <w:t>amend</w:t>
      </w:r>
      <w:r w:rsidRPr="00A32983">
        <w:t xml:space="preserve"> the ADI.</w:t>
      </w:r>
    </w:p>
    <w:p w14:paraId="75AC7513" w14:textId="4E01C463" w:rsidR="00477A81" w:rsidRDefault="00477A81" w:rsidP="00477A81"/>
    <w:p w14:paraId="49960F85" w14:textId="46341FEB" w:rsidR="006D335A" w:rsidRDefault="007935AA" w:rsidP="006D335A">
      <w:pPr>
        <w:rPr>
          <w:rFonts w:cs="Arial"/>
        </w:rPr>
      </w:pPr>
      <w:r>
        <w:rPr>
          <w:rFonts w:cs="Arial"/>
        </w:rPr>
        <w:t>D</w:t>
      </w:r>
      <w:r w:rsidR="006D335A">
        <w:rPr>
          <w:rFonts w:cs="Arial"/>
        </w:rPr>
        <w:t xml:space="preserve">ietary exposures </w:t>
      </w:r>
      <w:r>
        <w:rPr>
          <w:rFonts w:cs="Arial"/>
        </w:rPr>
        <w:t xml:space="preserve">to steviol glycosides </w:t>
      </w:r>
      <w:r w:rsidR="006D335A">
        <w:rPr>
          <w:rFonts w:cs="Arial"/>
        </w:rPr>
        <w:t xml:space="preserve">for Australian and New </w:t>
      </w:r>
      <w:r>
        <w:rPr>
          <w:rFonts w:cs="Arial"/>
        </w:rPr>
        <w:t>Zealand</w:t>
      </w:r>
      <w:r w:rsidR="00C24B09">
        <w:rPr>
          <w:rFonts w:cs="Arial"/>
        </w:rPr>
        <w:t xml:space="preserve"> </w:t>
      </w:r>
      <w:r w:rsidR="00031E36">
        <w:rPr>
          <w:rFonts w:cs="Arial"/>
        </w:rPr>
        <w:t xml:space="preserve">consumers </w:t>
      </w:r>
      <w:r>
        <w:rPr>
          <w:rFonts w:cs="Arial"/>
        </w:rPr>
        <w:t xml:space="preserve">were estimated </w:t>
      </w:r>
      <w:r w:rsidR="006D335A">
        <w:rPr>
          <w:rFonts w:cs="Arial"/>
        </w:rPr>
        <w:t xml:space="preserve">based on industry use </w:t>
      </w:r>
      <w:r>
        <w:rPr>
          <w:rFonts w:cs="Arial"/>
        </w:rPr>
        <w:t>data</w:t>
      </w:r>
      <w:r w:rsidR="006D335A">
        <w:rPr>
          <w:rFonts w:cs="Arial"/>
        </w:rPr>
        <w:t xml:space="preserve"> in food categories where steviol glycosides are permitted</w:t>
      </w:r>
      <w:r>
        <w:rPr>
          <w:rFonts w:cs="Arial"/>
        </w:rPr>
        <w:t>. Exposures were 95% of the ADI at the 90</w:t>
      </w:r>
      <w:r w:rsidRPr="00F50D78">
        <w:rPr>
          <w:rFonts w:cs="Arial"/>
          <w:vertAlign w:val="superscript"/>
        </w:rPr>
        <w:t>th</w:t>
      </w:r>
      <w:r>
        <w:rPr>
          <w:rFonts w:cs="Arial"/>
        </w:rPr>
        <w:t xml:space="preserve"> percentile or less</w:t>
      </w:r>
      <w:r w:rsidR="006D335A">
        <w:rPr>
          <w:rFonts w:cs="Arial"/>
        </w:rPr>
        <w:t xml:space="preserve"> </w:t>
      </w:r>
      <w:r>
        <w:rPr>
          <w:rFonts w:cs="Arial"/>
        </w:rPr>
        <w:t xml:space="preserve">across the population groups assessed when the extension of use </w:t>
      </w:r>
      <w:r w:rsidR="00F50D78">
        <w:rPr>
          <w:rFonts w:cs="Arial"/>
        </w:rPr>
        <w:t>in</w:t>
      </w:r>
      <w:r>
        <w:rPr>
          <w:rFonts w:cs="Arial"/>
        </w:rPr>
        <w:t xml:space="preserve"> fruit drinks </w:t>
      </w:r>
      <w:r w:rsidR="00031E36">
        <w:rPr>
          <w:rFonts w:cs="Arial"/>
        </w:rPr>
        <w:t xml:space="preserve">was </w:t>
      </w:r>
      <w:r>
        <w:rPr>
          <w:rFonts w:cs="Arial"/>
        </w:rPr>
        <w:t xml:space="preserve">included. </w:t>
      </w:r>
      <w:r>
        <w:rPr>
          <w:lang w:eastAsia="en-AU"/>
        </w:rPr>
        <w:t>T</w:t>
      </w:r>
      <w:r w:rsidR="006D335A">
        <w:rPr>
          <w:lang w:eastAsia="en-AU"/>
        </w:rPr>
        <w:t xml:space="preserve">he impact of permitting steviol glycosides in fruit drinks on </w:t>
      </w:r>
      <w:r w:rsidR="00031E36">
        <w:rPr>
          <w:lang w:eastAsia="en-AU"/>
        </w:rPr>
        <w:t xml:space="preserve">total </w:t>
      </w:r>
      <w:r w:rsidR="006D335A">
        <w:rPr>
          <w:lang w:eastAsia="en-AU"/>
        </w:rPr>
        <w:t xml:space="preserve">dietary exposure </w:t>
      </w:r>
      <w:r w:rsidR="00031E36">
        <w:rPr>
          <w:lang w:eastAsia="en-AU"/>
        </w:rPr>
        <w:t xml:space="preserve">was determined to be </w:t>
      </w:r>
      <w:r w:rsidR="006D335A">
        <w:rPr>
          <w:lang w:eastAsia="en-AU"/>
        </w:rPr>
        <w:t>small</w:t>
      </w:r>
      <w:r>
        <w:rPr>
          <w:lang w:eastAsia="en-AU"/>
        </w:rPr>
        <w:t xml:space="preserve"> (on average</w:t>
      </w:r>
      <w:r w:rsidR="00031E36">
        <w:rPr>
          <w:lang w:eastAsia="en-AU"/>
        </w:rPr>
        <w:t>,</w:t>
      </w:r>
      <w:r>
        <w:rPr>
          <w:lang w:eastAsia="en-AU"/>
        </w:rPr>
        <w:t xml:space="preserve"> exposures increase</w:t>
      </w:r>
      <w:r w:rsidR="00031E36">
        <w:rPr>
          <w:lang w:eastAsia="en-AU"/>
        </w:rPr>
        <w:t>d</w:t>
      </w:r>
      <w:r>
        <w:rPr>
          <w:lang w:eastAsia="en-AU"/>
        </w:rPr>
        <w:t xml:space="preserve"> by 5% of the ADI)</w:t>
      </w:r>
      <w:r w:rsidR="006D335A">
        <w:rPr>
          <w:lang w:eastAsia="en-AU"/>
        </w:rPr>
        <w:t>.</w:t>
      </w:r>
    </w:p>
    <w:p w14:paraId="61CABCCD" w14:textId="77777777" w:rsidR="00477A81" w:rsidRDefault="00477A81" w:rsidP="00477A81">
      <w:pPr>
        <w:rPr>
          <w:rFonts w:cs="Arial"/>
        </w:rPr>
      </w:pPr>
    </w:p>
    <w:p w14:paraId="39B9DCAA" w14:textId="14E636DC" w:rsidR="00477A81" w:rsidRDefault="00477A81" w:rsidP="00477A81">
      <w:r>
        <w:t xml:space="preserve">Based on the dietary exposure assessment, it </w:t>
      </w:r>
      <w:r w:rsidR="00031E36">
        <w:t xml:space="preserve">was determined </w:t>
      </w:r>
      <w:r>
        <w:t xml:space="preserve">that the ADI will not be exceeded by permitting the extension of use of steviol glycosides </w:t>
      </w:r>
      <w:r w:rsidR="0005254E">
        <w:t xml:space="preserve">in </w:t>
      </w:r>
      <w:r>
        <w:t>fruit drinks at the MPL of 200 mg/kg steviol equivalents.</w:t>
      </w:r>
    </w:p>
    <w:p w14:paraId="2A533795" w14:textId="77777777" w:rsidR="00477A81" w:rsidRDefault="00477A81" w:rsidP="00477A81"/>
    <w:p w14:paraId="55881017" w14:textId="1E0AB4FF" w:rsidR="00477A81" w:rsidRDefault="00477A81" w:rsidP="00477A81">
      <w:r>
        <w:rPr>
          <w:lang w:bidi="ar-SA"/>
        </w:rPr>
        <w:t xml:space="preserve">FSANZ concludes that </w:t>
      </w:r>
      <w:r w:rsidR="000D3142">
        <w:rPr>
          <w:lang w:bidi="ar-SA"/>
        </w:rPr>
        <w:t xml:space="preserve">there </w:t>
      </w:r>
      <w:r>
        <w:rPr>
          <w:lang w:bidi="ar-SA"/>
        </w:rPr>
        <w:t xml:space="preserve">are no public health and safety concerns from the extension of use of steviol glycosides </w:t>
      </w:r>
      <w:r w:rsidR="0005254E">
        <w:rPr>
          <w:lang w:bidi="ar-SA"/>
        </w:rPr>
        <w:t>in f</w:t>
      </w:r>
      <w:r>
        <w:rPr>
          <w:lang w:bidi="ar-SA"/>
        </w:rPr>
        <w:t xml:space="preserve">ruit </w:t>
      </w:r>
      <w:r w:rsidR="0005254E">
        <w:rPr>
          <w:lang w:bidi="ar-SA"/>
        </w:rPr>
        <w:t>d</w:t>
      </w:r>
      <w:r>
        <w:rPr>
          <w:lang w:bidi="ar-SA"/>
        </w:rPr>
        <w:t>rinks at the proposed level.</w:t>
      </w:r>
    </w:p>
    <w:p w14:paraId="6DC2AE45" w14:textId="773528FB" w:rsidR="00527B0F" w:rsidRDefault="00527B0F" w:rsidP="00A56E34"/>
    <w:p w14:paraId="27184347" w14:textId="78BE3D32" w:rsidR="00527B0F" w:rsidRDefault="00527B0F" w:rsidP="00A56E34">
      <w:r>
        <w:t xml:space="preserve">Steviol glycosides have </w:t>
      </w:r>
      <w:r w:rsidR="00477A81">
        <w:t xml:space="preserve">international </w:t>
      </w:r>
      <w:r>
        <w:t xml:space="preserve">specifications </w:t>
      </w:r>
      <w:r w:rsidR="00477A81">
        <w:t>established by JECFA</w:t>
      </w:r>
      <w:r>
        <w:t xml:space="preserve"> and also accepted specifications in </w:t>
      </w:r>
      <w:r w:rsidR="00477A81">
        <w:t>section S3</w:t>
      </w:r>
      <w:r w:rsidR="00AE1C16">
        <w:t>—</w:t>
      </w:r>
      <w:r w:rsidR="00477A81">
        <w:t>2(1)(a) of the</w:t>
      </w:r>
      <w:r>
        <w:t xml:space="preserve"> </w:t>
      </w:r>
      <w:r w:rsidR="006E37E1" w:rsidRPr="00150432">
        <w:t xml:space="preserve">Australia New Zealand Food Standards </w:t>
      </w:r>
      <w:r w:rsidRPr="00150432">
        <w:t>Code</w:t>
      </w:r>
      <w:r w:rsidR="006E37E1">
        <w:t xml:space="preserve"> (the Code)</w:t>
      </w:r>
      <w:r>
        <w:t xml:space="preserve">. </w:t>
      </w:r>
    </w:p>
    <w:p w14:paraId="1D63DAD3" w14:textId="77777777" w:rsidR="00477A81" w:rsidRDefault="00477A81" w:rsidP="00A56E34"/>
    <w:p w14:paraId="6CF840F0" w14:textId="4D2DE58F" w:rsidR="00B07009" w:rsidRDefault="00B07009" w:rsidP="00B07009">
      <w:r>
        <w:t xml:space="preserve">FSANZ has considered the potential impacts of approving a draft variation to the Code and concluded that the direct and indirect benefits that would arise from permitting steviol glycosides in fruit drinks most likely outweighs the associated costs. </w:t>
      </w:r>
    </w:p>
    <w:p w14:paraId="0AE02436" w14:textId="77777777" w:rsidR="00B07009" w:rsidRDefault="00B07009" w:rsidP="00B07009"/>
    <w:p w14:paraId="036DDBCD" w14:textId="13EC1CD6" w:rsidR="0053464E" w:rsidRDefault="00B07009" w:rsidP="00A56E34">
      <w:r>
        <w:t>FSANZ has therefore prepared a draft variation to permit the use of steviol glycosides as a food additive in fruit drinks at a maximum permitted level of 200 mg/</w:t>
      </w:r>
      <w:r w:rsidR="00047ED0">
        <w:t>kg</w:t>
      </w:r>
      <w:r w:rsidR="00F82BE4">
        <w:t xml:space="preserve"> steviol equivalents</w:t>
      </w:r>
      <w:r>
        <w:t xml:space="preserve">. </w:t>
      </w:r>
    </w:p>
    <w:p w14:paraId="5407FB87" w14:textId="5AA8C801" w:rsidR="00B07009" w:rsidRDefault="00B07009" w:rsidP="00A56E34"/>
    <w:p w14:paraId="2896006B" w14:textId="06A221C6" w:rsidR="002A5F8B" w:rsidRPr="000B6AF2" w:rsidRDefault="0005254E" w:rsidP="0005254E">
      <w:pPr>
        <w:pStyle w:val="Heading1"/>
        <w:ind w:left="0" w:firstLine="0"/>
      </w:pPr>
      <w:r>
        <w:br w:type="page"/>
      </w:r>
      <w:bookmarkStart w:id="11" w:name="_Toc300933417"/>
      <w:bookmarkStart w:id="12" w:name="_Toc524356778"/>
      <w:bookmarkStart w:id="13" w:name="_Toc526338040"/>
      <w:r w:rsidR="00F33BB8">
        <w:lastRenderedPageBreak/>
        <w:t>1</w:t>
      </w:r>
      <w:r w:rsidR="001542D8">
        <w:tab/>
      </w:r>
      <w:r w:rsidR="002A5F8B" w:rsidRPr="000B6AF2">
        <w:t>Introduction</w:t>
      </w:r>
      <w:bookmarkEnd w:id="10"/>
      <w:bookmarkEnd w:id="11"/>
      <w:bookmarkEnd w:id="12"/>
      <w:bookmarkEnd w:id="13"/>
    </w:p>
    <w:p w14:paraId="1D9AE483" w14:textId="5A92BC1A" w:rsidR="0053464E" w:rsidRPr="0053464E" w:rsidRDefault="00F33BB8" w:rsidP="00A56E34">
      <w:pPr>
        <w:pStyle w:val="Heading2"/>
      </w:pPr>
      <w:bookmarkStart w:id="14" w:name="_Toc300761890"/>
      <w:bookmarkStart w:id="15" w:name="_Toc524356779"/>
      <w:bookmarkStart w:id="16" w:name="_Toc526338041"/>
      <w:bookmarkStart w:id="17" w:name="_Toc300933419"/>
      <w:r>
        <w:t>1</w:t>
      </w:r>
      <w:r w:rsidR="00F33A4D">
        <w:t>.1</w:t>
      </w:r>
      <w:r w:rsidR="00F33A4D">
        <w:tab/>
        <w:t>The a</w:t>
      </w:r>
      <w:r w:rsidR="0053464E" w:rsidRPr="0053464E">
        <w:t>pplicant</w:t>
      </w:r>
      <w:bookmarkEnd w:id="14"/>
      <w:bookmarkEnd w:id="15"/>
      <w:bookmarkEnd w:id="16"/>
      <w:r w:rsidR="00256D65" w:rsidRPr="00256D65">
        <w:t xml:space="preserve"> </w:t>
      </w:r>
      <w:bookmarkEnd w:id="17"/>
    </w:p>
    <w:p w14:paraId="5A3D2EAF" w14:textId="111E18A2" w:rsidR="0053464E" w:rsidRPr="00516198" w:rsidRDefault="00447C25" w:rsidP="0053464E">
      <w:r w:rsidRPr="00516198">
        <w:t>The ABCL is the peak industry association for Australian non-alcoholic beverage manufacturers. The application is also supported by the New Zealand Beverage Council (NZBC)</w:t>
      </w:r>
      <w:r w:rsidR="000C0453">
        <w:rPr>
          <w:rFonts w:cs="Arial"/>
        </w:rPr>
        <w:t>—</w:t>
      </w:r>
      <w:r w:rsidRPr="00516198">
        <w:t>the industry association for New Zealand non</w:t>
      </w:r>
      <w:r w:rsidR="00AE1C16">
        <w:noBreakHyphen/>
      </w:r>
      <w:r w:rsidRPr="00516198">
        <w:t xml:space="preserve">alcoholic beverage manufacturers. </w:t>
      </w:r>
    </w:p>
    <w:p w14:paraId="7834D925" w14:textId="01CFDD34" w:rsidR="0053464E" w:rsidRPr="00516198" w:rsidRDefault="00F33BB8" w:rsidP="00A56E34">
      <w:pPr>
        <w:pStyle w:val="Heading2"/>
      </w:pPr>
      <w:bookmarkStart w:id="18" w:name="_Toc300761891"/>
      <w:bookmarkStart w:id="19" w:name="_Toc300933420"/>
      <w:bookmarkStart w:id="20" w:name="_Toc524356780"/>
      <w:bookmarkStart w:id="21" w:name="_Toc526338042"/>
      <w:r>
        <w:t>1</w:t>
      </w:r>
      <w:r w:rsidR="0053464E" w:rsidRPr="0053464E">
        <w:t>.2</w:t>
      </w:r>
      <w:r w:rsidR="0053464E" w:rsidRPr="0053464E">
        <w:tab/>
        <w:t xml:space="preserve">The </w:t>
      </w:r>
      <w:r w:rsidR="00F33A4D" w:rsidRPr="00516198">
        <w:t>a</w:t>
      </w:r>
      <w:r w:rsidR="0053464E" w:rsidRPr="00516198">
        <w:t>pplication</w:t>
      </w:r>
      <w:bookmarkEnd w:id="18"/>
      <w:bookmarkEnd w:id="19"/>
      <w:bookmarkEnd w:id="20"/>
      <w:bookmarkEnd w:id="21"/>
    </w:p>
    <w:p w14:paraId="1E7B5E06" w14:textId="290143E8" w:rsidR="0053464E" w:rsidRPr="000C31F3" w:rsidRDefault="00873078" w:rsidP="0053464E">
      <w:r w:rsidRPr="00516198">
        <w:t xml:space="preserve">The purpose of the application is to amend the Code to permit steviol glycosides as a food additive, with the technological purpose </w:t>
      </w:r>
      <w:r w:rsidR="00A812B0">
        <w:t xml:space="preserve">as an </w:t>
      </w:r>
      <w:r w:rsidRPr="00516198">
        <w:t>intense sweetener in fruit drinks, at a maximum permitted level of 200 mg/kg steviol equivalents</w:t>
      </w:r>
      <w:r w:rsidR="0018076C">
        <w:rPr>
          <w:rStyle w:val="FootnoteReference"/>
        </w:rPr>
        <w:footnoteReference w:id="2"/>
      </w:r>
      <w:r w:rsidRPr="00516198">
        <w:t>.</w:t>
      </w:r>
    </w:p>
    <w:p w14:paraId="7DD2D023" w14:textId="461F2460" w:rsidR="0053464E" w:rsidRPr="0053464E" w:rsidRDefault="00F33BB8" w:rsidP="00A56E34">
      <w:pPr>
        <w:pStyle w:val="Heading2"/>
      </w:pPr>
      <w:bookmarkStart w:id="22" w:name="_Toc300761892"/>
      <w:bookmarkStart w:id="23" w:name="_Toc300933421"/>
      <w:bookmarkStart w:id="24" w:name="_Toc524356781"/>
      <w:bookmarkStart w:id="25" w:name="_Toc526338043"/>
      <w:r>
        <w:t>1</w:t>
      </w:r>
      <w:r w:rsidR="00A56E34">
        <w:t>.3</w:t>
      </w:r>
      <w:r w:rsidR="00A56E34">
        <w:tab/>
        <w:t>The c</w:t>
      </w:r>
      <w:r w:rsidR="0053464E" w:rsidRPr="0053464E">
        <w:t xml:space="preserve">urrent </w:t>
      </w:r>
      <w:bookmarkEnd w:id="22"/>
      <w:bookmarkEnd w:id="23"/>
      <w:r w:rsidR="000C31F3">
        <w:t>Code requirements</w:t>
      </w:r>
      <w:bookmarkEnd w:id="24"/>
      <w:bookmarkEnd w:id="25"/>
    </w:p>
    <w:p w14:paraId="137AB3CE" w14:textId="46F40445" w:rsidR="00CE2984" w:rsidRDefault="00AE1C16" w:rsidP="00CE2984">
      <w:r w:rsidRPr="00892A5F">
        <w:t>Australia and New Zealand food laws require that food for sale must co</w:t>
      </w:r>
      <w:r>
        <w:t xml:space="preserve">mply with the Code </w:t>
      </w:r>
      <w:r w:rsidR="00150432">
        <w:t xml:space="preserve">requirements, the </w:t>
      </w:r>
      <w:r>
        <w:t>Code does not currently permit s</w:t>
      </w:r>
      <w:r w:rsidR="000C31F3" w:rsidRPr="00892A5F">
        <w:t>teviol glycosides to be added to fruit drinks</w:t>
      </w:r>
      <w:r w:rsidR="0018076C">
        <w:t xml:space="preserve">. </w:t>
      </w:r>
    </w:p>
    <w:p w14:paraId="1828D00C" w14:textId="4657057F" w:rsidR="00C27A3A" w:rsidRPr="00225435" w:rsidRDefault="00225435" w:rsidP="00225435">
      <w:pPr>
        <w:pStyle w:val="Heading3"/>
      </w:pPr>
      <w:bookmarkStart w:id="26" w:name="_Toc526338044"/>
      <w:r>
        <w:t>1.3.1</w:t>
      </w:r>
      <w:r w:rsidR="00C27A3A">
        <w:t xml:space="preserve"> Food additive permissions</w:t>
      </w:r>
      <w:bookmarkEnd w:id="26"/>
    </w:p>
    <w:p w14:paraId="70C21E72" w14:textId="77777777" w:rsidR="00C27A3A" w:rsidRDefault="00C27A3A" w:rsidP="00C27A3A">
      <w:pPr>
        <w:rPr>
          <w:lang w:eastAsia="en-AU" w:bidi="ar-SA"/>
        </w:rPr>
      </w:pPr>
      <w:r>
        <w:rPr>
          <w:lang w:eastAsia="en-AU" w:bidi="ar-SA"/>
        </w:rPr>
        <w:t>Paragraph 1.1.1</w:t>
      </w:r>
      <w:r>
        <w:t>—</w:t>
      </w:r>
      <w:r>
        <w:rPr>
          <w:lang w:eastAsia="en-AU" w:bidi="ar-SA"/>
        </w:rPr>
        <w:t>10(6)(a) of the Code provides that food for sale cannot contain, as an ingredient or component, a substance ‘used as a food additive’ unless that substance’s use as a food additive is expressly permitted by the Code.</w:t>
      </w:r>
    </w:p>
    <w:p w14:paraId="6216DD32" w14:textId="77777777" w:rsidR="00C27A3A" w:rsidRDefault="00C27A3A" w:rsidP="00C27A3A">
      <w:pPr>
        <w:rPr>
          <w:lang w:eastAsia="en-AU" w:bidi="ar-SA"/>
        </w:rPr>
      </w:pPr>
    </w:p>
    <w:p w14:paraId="2230A2A7" w14:textId="77777777" w:rsidR="00C27A3A" w:rsidRDefault="00C27A3A" w:rsidP="00C27A3A">
      <w:pPr>
        <w:rPr>
          <w:lang w:eastAsia="en-AU" w:bidi="ar-SA"/>
        </w:rPr>
      </w:pPr>
      <w:r>
        <w:rPr>
          <w:lang w:eastAsia="en-AU" w:bidi="ar-SA"/>
        </w:rPr>
        <w:t>Section 1.3.1</w:t>
      </w:r>
      <w:r>
        <w:t>—</w:t>
      </w:r>
      <w:r>
        <w:rPr>
          <w:lang w:eastAsia="en-AU" w:bidi="ar-SA"/>
        </w:rPr>
        <w:t>3 details which substances are permitted to be used as a food additive for the purposes of the Code. The permitted food additives for different food categories are listed in the table to section S15</w:t>
      </w:r>
      <w:r>
        <w:t>—</w:t>
      </w:r>
      <w:r>
        <w:rPr>
          <w:lang w:eastAsia="en-AU" w:bidi="ar-SA"/>
        </w:rPr>
        <w:t xml:space="preserve">5 of the Code. </w:t>
      </w:r>
    </w:p>
    <w:p w14:paraId="3EDCB231" w14:textId="77777777" w:rsidR="00C27A3A" w:rsidRDefault="00C27A3A" w:rsidP="00C27A3A">
      <w:pPr>
        <w:rPr>
          <w:lang w:eastAsia="en-AU" w:bidi="ar-SA"/>
        </w:rPr>
      </w:pPr>
    </w:p>
    <w:p w14:paraId="33ACCD41" w14:textId="77777777" w:rsidR="00C27A3A" w:rsidRDefault="00C27A3A" w:rsidP="00C27A3A">
      <w:pPr>
        <w:rPr>
          <w:lang w:eastAsia="en-AU" w:bidi="ar-SA"/>
        </w:rPr>
      </w:pPr>
      <w:r>
        <w:rPr>
          <w:lang w:eastAsia="en-AU" w:bidi="ar-SA"/>
        </w:rPr>
        <w:t>Section 1.1.2</w:t>
      </w:r>
      <w:r>
        <w:t>—</w:t>
      </w:r>
      <w:r>
        <w:rPr>
          <w:lang w:eastAsia="en-AU" w:bidi="ar-SA"/>
        </w:rPr>
        <w:t>11 also provides that a substance is ‘used as a food additive’ if it is added to a food to perform one or more technological functions listed in Schedule 14 of the Code and is a substance identified in the table to section S15</w:t>
      </w:r>
      <w:r>
        <w:t>—</w:t>
      </w:r>
      <w:r>
        <w:rPr>
          <w:lang w:eastAsia="en-AU" w:bidi="ar-SA"/>
        </w:rPr>
        <w:t xml:space="preserve">5 as a permitted food additive. </w:t>
      </w:r>
    </w:p>
    <w:p w14:paraId="074B0D16" w14:textId="77777777" w:rsidR="00C27A3A" w:rsidRDefault="00C27A3A" w:rsidP="00C27A3A">
      <w:pPr>
        <w:rPr>
          <w:lang w:eastAsia="en-AU" w:bidi="ar-SA"/>
        </w:rPr>
      </w:pPr>
    </w:p>
    <w:p w14:paraId="6541A9A1" w14:textId="77777777" w:rsidR="00C27A3A" w:rsidRDefault="00C27A3A" w:rsidP="00C27A3A">
      <w:pPr>
        <w:rPr>
          <w:lang w:eastAsia="en-AU" w:bidi="ar-SA"/>
        </w:rPr>
      </w:pPr>
      <w:r>
        <w:rPr>
          <w:lang w:eastAsia="en-AU" w:bidi="ar-SA"/>
        </w:rPr>
        <w:t>Schedule 14 lists the permitted technological purposes of food additives. The table to section S14</w:t>
      </w:r>
      <w:r>
        <w:t>—</w:t>
      </w:r>
      <w:r>
        <w:rPr>
          <w:lang w:eastAsia="en-AU" w:bidi="ar-SA"/>
        </w:rPr>
        <w:t>2 provides that use as an intense sweetener is a permitted technological purpose.</w:t>
      </w:r>
    </w:p>
    <w:p w14:paraId="23157EE0" w14:textId="77777777" w:rsidR="00C27A3A" w:rsidRDefault="00C27A3A" w:rsidP="00C27A3A">
      <w:pPr>
        <w:rPr>
          <w:lang w:eastAsia="en-AU" w:bidi="ar-SA"/>
        </w:rPr>
      </w:pPr>
    </w:p>
    <w:p w14:paraId="494FC5C1" w14:textId="77777777" w:rsidR="00225435" w:rsidRDefault="00C27A3A" w:rsidP="00225435">
      <w:pPr>
        <w:rPr>
          <w:b/>
          <w:bCs/>
        </w:rPr>
      </w:pPr>
      <w:r>
        <w:t xml:space="preserve">Schedule 15 lists the specific food additive permissions for different classes of food products. Item </w:t>
      </w:r>
      <w:r w:rsidRPr="00B36513">
        <w:t xml:space="preserve">14.1.2.2.1 </w:t>
      </w:r>
      <w:r>
        <w:t xml:space="preserve">in </w:t>
      </w:r>
      <w:r w:rsidRPr="00B36513">
        <w:t>the table to subsection S15</w:t>
      </w:r>
      <w:r>
        <w:t>—</w:t>
      </w:r>
      <w:r w:rsidRPr="00B36513">
        <w:t>5</w:t>
      </w:r>
      <w:r>
        <w:t xml:space="preserve"> lists the permitted food additives for fruit drinks. </w:t>
      </w:r>
    </w:p>
    <w:p w14:paraId="26CD9D9B" w14:textId="7A81315D" w:rsidR="00C27A3A" w:rsidRPr="00225435" w:rsidRDefault="00225435" w:rsidP="00225435">
      <w:pPr>
        <w:pStyle w:val="Heading3"/>
      </w:pPr>
      <w:bookmarkStart w:id="27" w:name="_Toc526338045"/>
      <w:r>
        <w:lastRenderedPageBreak/>
        <w:t xml:space="preserve">1.3.2 </w:t>
      </w:r>
      <w:r w:rsidR="00C27A3A">
        <w:t>Labelling requirements</w:t>
      </w:r>
      <w:bookmarkEnd w:id="27"/>
    </w:p>
    <w:p w14:paraId="39241CA0" w14:textId="77777777" w:rsidR="00C27A3A" w:rsidRDefault="00C27A3A" w:rsidP="00C27A3A">
      <w:r>
        <w:t>Paragraph 1.1.1—10(8) of the Code provides that food for sale must comply with all relevant labelling requirements imposed by the Code for that food.</w:t>
      </w:r>
    </w:p>
    <w:p w14:paraId="396AED62" w14:textId="77777777" w:rsidR="00C27A3A" w:rsidRDefault="00C27A3A" w:rsidP="00C27A3A"/>
    <w:p w14:paraId="56219879" w14:textId="77777777" w:rsidR="00C27A3A" w:rsidRDefault="00C27A3A" w:rsidP="00C27A3A">
      <w:r>
        <w:t>Standard 1.2.4 of the Code generally requires food products to be labelled with a statement of ingredients. Subsection 1.2.4—7(1) requires food additives to be declared in the statement of ingredients.</w:t>
      </w:r>
    </w:p>
    <w:p w14:paraId="61E34BEC" w14:textId="77777777" w:rsidR="00C27A3A" w:rsidRDefault="00C27A3A" w:rsidP="00C27A3A"/>
    <w:p w14:paraId="67E48123" w14:textId="77777777" w:rsidR="00C27A3A" w:rsidRDefault="00C27A3A" w:rsidP="00C27A3A">
      <w:r>
        <w:t xml:space="preserve">Schedule 7 lists the food additive class names that can be used in the statement of ingredients.  </w:t>
      </w:r>
    </w:p>
    <w:p w14:paraId="443B04D7" w14:textId="77777777" w:rsidR="00C27A3A" w:rsidRDefault="00C27A3A" w:rsidP="00C27A3A"/>
    <w:p w14:paraId="27357FE1" w14:textId="77777777" w:rsidR="00C27A3A" w:rsidRDefault="00C27A3A" w:rsidP="00C27A3A">
      <w:pPr>
        <w:rPr>
          <w:lang w:eastAsia="en-AU" w:bidi="ar-SA"/>
        </w:rPr>
      </w:pPr>
      <w:r>
        <w:t xml:space="preserve">Schedule 8 lists the names and code numbers of food additives that are to be used for labelling purposes. Schedule 8 refers to steviol glycosides (code number 960) which is currently permitted to be added to food as a food additive. </w:t>
      </w:r>
    </w:p>
    <w:p w14:paraId="4A779110" w14:textId="34A6F8EE" w:rsidR="00C27A3A" w:rsidRPr="00225435" w:rsidRDefault="00C27A3A" w:rsidP="00225435">
      <w:pPr>
        <w:pStyle w:val="Heading3"/>
      </w:pPr>
      <w:bookmarkStart w:id="28" w:name="_Toc526338046"/>
      <w:r>
        <w:t>1.3</w:t>
      </w:r>
      <w:r w:rsidR="00225435">
        <w:t>.3</w:t>
      </w:r>
      <w:r>
        <w:t xml:space="preserve"> Identity and purity requirements</w:t>
      </w:r>
      <w:bookmarkEnd w:id="28"/>
    </w:p>
    <w:p w14:paraId="6804E0BC" w14:textId="77777777" w:rsidR="00C27A3A" w:rsidRDefault="00C27A3A" w:rsidP="00C27A3A">
      <w:r>
        <w:t xml:space="preserve">Food additives permitted by section 1.3.1 and Schedule 15 must also meet any relevant identity and purity specifications set out in Schedule 3. Section S3—2 of Schedule 3 provides a list of specifications contained in primary sources, including in the Code. </w:t>
      </w:r>
    </w:p>
    <w:p w14:paraId="1E2E88E8" w14:textId="77777777" w:rsidR="00C27A3A" w:rsidRDefault="00C27A3A" w:rsidP="00C27A3A"/>
    <w:p w14:paraId="70CC8916" w14:textId="5E51F121" w:rsidR="00067E7F" w:rsidRDefault="00F33BB8" w:rsidP="00D062E4">
      <w:pPr>
        <w:pStyle w:val="Heading2"/>
        <w:rPr>
          <w:u w:color="FFFF00"/>
        </w:rPr>
      </w:pPr>
      <w:bookmarkStart w:id="29" w:name="_Toc524356782"/>
      <w:bookmarkStart w:id="30" w:name="_Toc526338047"/>
      <w:bookmarkStart w:id="31" w:name="_Toc286391007"/>
      <w:bookmarkStart w:id="32" w:name="_Toc300933423"/>
      <w:bookmarkStart w:id="33" w:name="_Toc175381432"/>
      <w:r>
        <w:rPr>
          <w:u w:color="FFFF00"/>
        </w:rPr>
        <w:t>1</w:t>
      </w:r>
      <w:r w:rsidR="00606C88">
        <w:rPr>
          <w:u w:color="FFFF00"/>
        </w:rPr>
        <w:t>.4</w:t>
      </w:r>
      <w:r w:rsidR="00067E7F">
        <w:rPr>
          <w:u w:color="FFFF00"/>
        </w:rPr>
        <w:t xml:space="preserve"> International </w:t>
      </w:r>
      <w:r w:rsidR="005A349D">
        <w:rPr>
          <w:u w:color="FFFF00"/>
        </w:rPr>
        <w:t xml:space="preserve">and national </w:t>
      </w:r>
      <w:r w:rsidR="00067E7F">
        <w:rPr>
          <w:u w:color="FFFF00"/>
        </w:rPr>
        <w:t>requirements</w:t>
      </w:r>
      <w:bookmarkEnd w:id="29"/>
      <w:bookmarkEnd w:id="30"/>
    </w:p>
    <w:p w14:paraId="7AB72CA2" w14:textId="56CB86FB" w:rsidR="005A349D" w:rsidRDefault="005A349D" w:rsidP="005A349D">
      <w:pPr>
        <w:pStyle w:val="Heading3"/>
        <w:rPr>
          <w:u w:color="FFFF00"/>
        </w:rPr>
      </w:pPr>
      <w:bookmarkStart w:id="34" w:name="_Toc524356783"/>
      <w:bookmarkStart w:id="35" w:name="_Toc526338048"/>
      <w:r>
        <w:rPr>
          <w:u w:color="FFFF00"/>
        </w:rPr>
        <w:t>1.4.1 International requirements</w:t>
      </w:r>
      <w:bookmarkEnd w:id="34"/>
      <w:bookmarkEnd w:id="35"/>
    </w:p>
    <w:p w14:paraId="518DAD0F" w14:textId="3665722F" w:rsidR="002227E8" w:rsidRDefault="00A006D9" w:rsidP="007C1AFA">
      <w:pPr>
        <w:rPr>
          <w:u w:color="FFFF00"/>
        </w:rPr>
      </w:pPr>
      <w:r>
        <w:rPr>
          <w:u w:color="FFFF00"/>
        </w:rPr>
        <w:t>Codex’s general standard for food additives</w:t>
      </w:r>
      <w:r w:rsidR="00190BC9">
        <w:rPr>
          <w:u w:color="FFFF00"/>
        </w:rPr>
        <w:t xml:space="preserve"> (GSFA)</w:t>
      </w:r>
      <w:r>
        <w:rPr>
          <w:u w:color="FFFF00"/>
        </w:rPr>
        <w:t xml:space="preserve"> contains permission for the use of </w:t>
      </w:r>
      <w:r w:rsidR="00717878">
        <w:rPr>
          <w:u w:color="FFFF00"/>
        </w:rPr>
        <w:t>s</w:t>
      </w:r>
      <w:r w:rsidR="007C1AFA">
        <w:rPr>
          <w:u w:color="FFFF00"/>
        </w:rPr>
        <w:t>teviol glycosides</w:t>
      </w:r>
      <w:r w:rsidR="00DA258B">
        <w:rPr>
          <w:u w:color="FFFF00"/>
        </w:rPr>
        <w:t xml:space="preserve"> </w:t>
      </w:r>
      <w:r w:rsidR="002227E8">
        <w:rPr>
          <w:u w:color="FFFF00"/>
        </w:rPr>
        <w:t>in a range of foods and maximum permitted limits</w:t>
      </w:r>
      <w:r w:rsidR="008E2628">
        <w:rPr>
          <w:u w:color="FFFF00"/>
        </w:rPr>
        <w:t xml:space="preserve"> (FAO</w:t>
      </w:r>
      <w:r w:rsidR="00904928">
        <w:rPr>
          <w:u w:color="FFFF00"/>
        </w:rPr>
        <w:t>/</w:t>
      </w:r>
      <w:r w:rsidR="008E2628">
        <w:rPr>
          <w:u w:color="FFFF00"/>
        </w:rPr>
        <w:t>WHO 2018)</w:t>
      </w:r>
      <w:r w:rsidR="002227E8">
        <w:rPr>
          <w:u w:color="FFFF00"/>
        </w:rPr>
        <w:t xml:space="preserve">. </w:t>
      </w:r>
      <w:r w:rsidR="00F50D78">
        <w:rPr>
          <w:u w:color="FFFF00"/>
        </w:rPr>
        <w:t xml:space="preserve">The GSFA </w:t>
      </w:r>
      <w:r w:rsidR="00626B82">
        <w:rPr>
          <w:u w:color="FFFF00"/>
        </w:rPr>
        <w:t xml:space="preserve">includes permission </w:t>
      </w:r>
      <w:r w:rsidR="00717878">
        <w:rPr>
          <w:u w:color="FFFF00"/>
        </w:rPr>
        <w:t xml:space="preserve">to add steviol glycosides </w:t>
      </w:r>
      <w:r w:rsidR="00F50D78">
        <w:rPr>
          <w:u w:color="FFFF00"/>
        </w:rPr>
        <w:t>(</w:t>
      </w:r>
      <w:r w:rsidR="00DA025E">
        <w:rPr>
          <w:u w:color="FFFF00"/>
        </w:rPr>
        <w:t>as steviol equivalents</w:t>
      </w:r>
      <w:r w:rsidR="00F50D78">
        <w:rPr>
          <w:u w:color="FFFF00"/>
        </w:rPr>
        <w:t>)</w:t>
      </w:r>
      <w:r w:rsidR="00DA025E">
        <w:rPr>
          <w:u w:color="FFFF00"/>
        </w:rPr>
        <w:t xml:space="preserve"> </w:t>
      </w:r>
      <w:r w:rsidR="00717878">
        <w:rPr>
          <w:u w:color="FFFF00"/>
        </w:rPr>
        <w:t xml:space="preserve">to </w:t>
      </w:r>
      <w:r w:rsidR="00DA025E">
        <w:rPr>
          <w:u w:color="FFFF00"/>
        </w:rPr>
        <w:t xml:space="preserve">food category 14.1.4 </w:t>
      </w:r>
      <w:r w:rsidR="002227E8">
        <w:rPr>
          <w:u w:color="FFFF00"/>
        </w:rPr>
        <w:t>water based flavoured drinks at a maximum permitted level of 200 mg/kg.</w:t>
      </w:r>
    </w:p>
    <w:p w14:paraId="2F25D4CD" w14:textId="77777777" w:rsidR="002227E8" w:rsidRDefault="002227E8" w:rsidP="007C1AFA">
      <w:pPr>
        <w:rPr>
          <w:u w:color="FFFF00"/>
        </w:rPr>
      </w:pPr>
    </w:p>
    <w:p w14:paraId="35E16E9C" w14:textId="363F20AB" w:rsidR="00EE579E" w:rsidRDefault="00626B82" w:rsidP="007C1AFA">
      <w:pPr>
        <w:rPr>
          <w:u w:color="FFFF00"/>
        </w:rPr>
      </w:pPr>
      <w:r>
        <w:rPr>
          <w:u w:color="FFFF00"/>
        </w:rPr>
        <w:t>P</w:t>
      </w:r>
      <w:r w:rsidR="00DA025E">
        <w:rPr>
          <w:u w:color="FFFF00"/>
        </w:rPr>
        <w:t>roduct specifications for steviol glycosides are</w:t>
      </w:r>
      <w:r w:rsidR="002227E8">
        <w:rPr>
          <w:u w:color="FFFF00"/>
        </w:rPr>
        <w:t xml:space="preserve"> established by JECFA</w:t>
      </w:r>
      <w:r w:rsidR="00225435" w:rsidDel="00225435">
        <w:rPr>
          <w:u w:color="FFFF00"/>
        </w:rPr>
        <w:t xml:space="preserve"> </w:t>
      </w:r>
      <w:r w:rsidR="00225435">
        <w:rPr>
          <w:u w:color="FFFF00"/>
        </w:rPr>
        <w:t>i</w:t>
      </w:r>
      <w:r w:rsidR="00EE579E">
        <w:rPr>
          <w:u w:color="FFFF00"/>
        </w:rPr>
        <w:t>n</w:t>
      </w:r>
      <w:r w:rsidR="002227E8">
        <w:rPr>
          <w:u w:color="FFFF00"/>
        </w:rPr>
        <w:t xml:space="preserve"> the Combined Compendium of Food Additive Specifications. </w:t>
      </w:r>
      <w:r w:rsidR="00DA025E">
        <w:rPr>
          <w:u w:color="FFFF00"/>
        </w:rPr>
        <w:t xml:space="preserve">The most recent specifications are included in Monograph </w:t>
      </w:r>
      <w:r w:rsidR="000B7C39">
        <w:rPr>
          <w:u w:color="FFFF00"/>
        </w:rPr>
        <w:t xml:space="preserve">20 </w:t>
      </w:r>
      <w:r w:rsidR="00DA025E">
        <w:rPr>
          <w:u w:color="FFFF00"/>
        </w:rPr>
        <w:t>(</w:t>
      </w:r>
      <w:r w:rsidR="00153889">
        <w:rPr>
          <w:u w:color="FFFF00"/>
        </w:rPr>
        <w:t>JECFA</w:t>
      </w:r>
      <w:r w:rsidR="00DA258B">
        <w:rPr>
          <w:u w:color="FFFF00"/>
        </w:rPr>
        <w:t xml:space="preserve"> </w:t>
      </w:r>
      <w:r w:rsidR="000B7C39">
        <w:rPr>
          <w:u w:color="FFFF00"/>
        </w:rPr>
        <w:t>2017</w:t>
      </w:r>
      <w:r w:rsidR="00DA025E">
        <w:rPr>
          <w:u w:color="FFFF00"/>
        </w:rPr>
        <w:t xml:space="preserve">). </w:t>
      </w:r>
      <w:r w:rsidR="00994920">
        <w:rPr>
          <w:u w:color="FFFF00"/>
        </w:rPr>
        <w:t xml:space="preserve">These </w:t>
      </w:r>
      <w:r w:rsidR="002227E8">
        <w:rPr>
          <w:u w:color="FFFF00"/>
        </w:rPr>
        <w:t>are an accepted primary source of specifications in section S3</w:t>
      </w:r>
      <w:r w:rsidR="00DC62DA">
        <w:t>—</w:t>
      </w:r>
      <w:r w:rsidR="002227E8">
        <w:rPr>
          <w:u w:color="FFFF00"/>
        </w:rPr>
        <w:t xml:space="preserve">2(1)(b) of the Code. </w:t>
      </w:r>
    </w:p>
    <w:p w14:paraId="24190791" w14:textId="7F7436C4" w:rsidR="005A349D" w:rsidRDefault="005A349D" w:rsidP="005A349D">
      <w:pPr>
        <w:pStyle w:val="Heading3"/>
        <w:ind w:left="0" w:firstLine="0"/>
        <w:rPr>
          <w:u w:color="FFFF00"/>
        </w:rPr>
      </w:pPr>
      <w:bookmarkStart w:id="36" w:name="_Toc524356784"/>
      <w:bookmarkStart w:id="37" w:name="_Toc526338049"/>
      <w:r>
        <w:rPr>
          <w:u w:color="FFFF00"/>
        </w:rPr>
        <w:t xml:space="preserve">1.4.2 European </w:t>
      </w:r>
      <w:r w:rsidR="009218F4">
        <w:rPr>
          <w:u w:color="FFFF00"/>
        </w:rPr>
        <w:t>U</w:t>
      </w:r>
      <w:r>
        <w:rPr>
          <w:u w:color="FFFF00"/>
        </w:rPr>
        <w:t>nion</w:t>
      </w:r>
      <w:bookmarkEnd w:id="36"/>
      <w:bookmarkEnd w:id="37"/>
    </w:p>
    <w:p w14:paraId="63BBC980" w14:textId="0C243881" w:rsidR="00E07743" w:rsidRPr="005A349D" w:rsidRDefault="00E07743" w:rsidP="00E07743">
      <w:pPr>
        <w:rPr>
          <w:lang w:eastAsia="en-AU" w:bidi="ar-SA"/>
        </w:rPr>
      </w:pPr>
      <w:r>
        <w:rPr>
          <w:lang w:val="en"/>
        </w:rPr>
        <w:t xml:space="preserve">Regulation EU 1131/2011 provides permission for the use of </w:t>
      </w:r>
      <w:r w:rsidR="009218F4">
        <w:rPr>
          <w:lang w:val="en"/>
        </w:rPr>
        <w:t>steviol</w:t>
      </w:r>
      <w:r>
        <w:rPr>
          <w:lang w:val="en"/>
        </w:rPr>
        <w:t xml:space="preserve"> glycosides </w:t>
      </w:r>
      <w:r w:rsidR="00DA258B">
        <w:rPr>
          <w:lang w:val="en"/>
        </w:rPr>
        <w:t xml:space="preserve">(food additive number E960) </w:t>
      </w:r>
      <w:r>
        <w:rPr>
          <w:lang w:val="en"/>
        </w:rPr>
        <w:t xml:space="preserve">as a sweetener in </w:t>
      </w:r>
      <w:r w:rsidR="00DA258B">
        <w:rPr>
          <w:lang w:val="en"/>
        </w:rPr>
        <w:t>a range of foods</w:t>
      </w:r>
      <w:r>
        <w:rPr>
          <w:lang w:val="en"/>
        </w:rPr>
        <w:t xml:space="preserve">. </w:t>
      </w:r>
      <w:r w:rsidR="00DA258B">
        <w:rPr>
          <w:lang w:val="en"/>
        </w:rPr>
        <w:t xml:space="preserve">The </w:t>
      </w:r>
      <w:r w:rsidR="0005254E">
        <w:rPr>
          <w:lang w:val="en"/>
        </w:rPr>
        <w:t xml:space="preserve">regulation </w:t>
      </w:r>
      <w:r w:rsidR="00626B82">
        <w:rPr>
          <w:lang w:val="en"/>
        </w:rPr>
        <w:t xml:space="preserve">includes permission </w:t>
      </w:r>
      <w:r w:rsidR="00DA258B">
        <w:rPr>
          <w:lang w:val="en"/>
        </w:rPr>
        <w:t xml:space="preserve">to add steviol glycosides as steviol equivalents to </w:t>
      </w:r>
      <w:r w:rsidR="001452A7">
        <w:rPr>
          <w:lang w:val="en"/>
        </w:rPr>
        <w:t>food categories</w:t>
      </w:r>
      <w:r w:rsidR="00DA258B">
        <w:rPr>
          <w:lang w:val="en"/>
        </w:rPr>
        <w:t xml:space="preserve"> 14.1.3 fruit and vegetable nectars and similar products and 14.1.4 flavoured drinks at 100 mg/</w:t>
      </w:r>
      <w:r w:rsidR="00277FE8">
        <w:rPr>
          <w:lang w:val="en"/>
        </w:rPr>
        <w:t xml:space="preserve">kg </w:t>
      </w:r>
      <w:r w:rsidR="00DA258B">
        <w:rPr>
          <w:lang w:val="en"/>
        </w:rPr>
        <w:t>and 80</w:t>
      </w:r>
      <w:r w:rsidR="00F82BE4">
        <w:rPr>
          <w:lang w:val="en"/>
        </w:rPr>
        <w:t> </w:t>
      </w:r>
      <w:r w:rsidR="00DA258B">
        <w:rPr>
          <w:lang w:val="en"/>
        </w:rPr>
        <w:t>mg/</w:t>
      </w:r>
      <w:r w:rsidR="00277FE8">
        <w:rPr>
          <w:lang w:val="en"/>
        </w:rPr>
        <w:t xml:space="preserve">kg </w:t>
      </w:r>
      <w:r w:rsidR="00DA258B">
        <w:rPr>
          <w:lang w:val="en"/>
        </w:rPr>
        <w:t xml:space="preserve">respectively (European Commission, 2011). </w:t>
      </w:r>
    </w:p>
    <w:p w14:paraId="6E534204" w14:textId="77777777" w:rsidR="00EE579E" w:rsidRDefault="00E07743" w:rsidP="00EE579E">
      <w:pPr>
        <w:rPr>
          <w:lang w:eastAsia="en-AU" w:bidi="ar-SA"/>
        </w:rPr>
      </w:pPr>
      <w:r>
        <w:rPr>
          <w:lang w:eastAsia="en-AU" w:bidi="ar-SA"/>
        </w:rPr>
        <w:t xml:space="preserve"> </w:t>
      </w:r>
    </w:p>
    <w:p w14:paraId="2D08F3AC" w14:textId="304DF630" w:rsidR="00EE579E" w:rsidRDefault="00626B82" w:rsidP="00EE579E">
      <w:pPr>
        <w:rPr>
          <w:lang w:eastAsia="en-AU" w:bidi="ar-SA"/>
        </w:rPr>
      </w:pPr>
      <w:r>
        <w:rPr>
          <w:lang w:eastAsia="en-AU" w:bidi="ar-SA"/>
        </w:rPr>
        <w:t xml:space="preserve">Product </w:t>
      </w:r>
      <w:r w:rsidR="00736B84">
        <w:rPr>
          <w:lang w:eastAsia="en-AU" w:bidi="ar-SA"/>
        </w:rPr>
        <w:t xml:space="preserve">specifications for steviol glycosides </w:t>
      </w:r>
      <w:r>
        <w:rPr>
          <w:lang w:eastAsia="en-AU" w:bidi="ar-SA"/>
        </w:rPr>
        <w:t>are included</w:t>
      </w:r>
      <w:r w:rsidR="00E07743">
        <w:rPr>
          <w:lang w:eastAsia="en-AU" w:bidi="ar-SA"/>
        </w:rPr>
        <w:t xml:space="preserve"> in Regulation EU 2016/1814 (E</w:t>
      </w:r>
      <w:r w:rsidR="005049CA">
        <w:rPr>
          <w:lang w:eastAsia="en-AU" w:bidi="ar-SA"/>
        </w:rPr>
        <w:t xml:space="preserve">uropean </w:t>
      </w:r>
      <w:r w:rsidR="00E07743">
        <w:rPr>
          <w:lang w:eastAsia="en-AU" w:bidi="ar-SA"/>
        </w:rPr>
        <w:t>C</w:t>
      </w:r>
      <w:r w:rsidR="005049CA">
        <w:rPr>
          <w:lang w:eastAsia="en-AU" w:bidi="ar-SA"/>
        </w:rPr>
        <w:t>ommission</w:t>
      </w:r>
      <w:r w:rsidR="00E07743">
        <w:rPr>
          <w:lang w:eastAsia="en-AU" w:bidi="ar-SA"/>
        </w:rPr>
        <w:t xml:space="preserve">, 2016).  </w:t>
      </w:r>
      <w:bookmarkStart w:id="38" w:name="_Toc524356785"/>
    </w:p>
    <w:p w14:paraId="5E395195" w14:textId="696C58C8" w:rsidR="00EE579E" w:rsidRDefault="00E07743" w:rsidP="00EE579E">
      <w:pPr>
        <w:pStyle w:val="Heading3"/>
      </w:pPr>
      <w:bookmarkStart w:id="39" w:name="_Toc526338050"/>
      <w:r>
        <w:lastRenderedPageBreak/>
        <w:t>1.4.3 United States of America</w:t>
      </w:r>
      <w:r w:rsidR="00147A12">
        <w:t xml:space="preserve"> (USA)</w:t>
      </w:r>
      <w:bookmarkEnd w:id="38"/>
      <w:bookmarkEnd w:id="39"/>
    </w:p>
    <w:p w14:paraId="602B364D" w14:textId="38F89D7F" w:rsidR="00600E4C" w:rsidRDefault="003509CC" w:rsidP="00600E4C">
      <w:pPr>
        <w:rPr>
          <w:lang w:eastAsia="en-AU" w:bidi="ar-SA"/>
        </w:rPr>
      </w:pPr>
      <w:r>
        <w:rPr>
          <w:rFonts w:ascii="Helvetica" w:hAnsi="Helvetica" w:cs="Arial"/>
          <w:color w:val="333333"/>
          <w:lang w:val="en"/>
        </w:rPr>
        <w:t>I</w:t>
      </w:r>
      <w:r w:rsidR="00F733F9">
        <w:rPr>
          <w:rFonts w:ascii="Helvetica" w:hAnsi="Helvetica" w:cs="Arial"/>
          <w:color w:val="333333"/>
          <w:lang w:val="en"/>
        </w:rPr>
        <w:t xml:space="preserve">ntense sweeteners, including steviol glycosides are generally recognized as safe (“GRAS”) based on the </w:t>
      </w:r>
      <w:r w:rsidR="00F733F9">
        <w:rPr>
          <w:lang w:eastAsia="en-AU" w:bidi="ar-SA"/>
        </w:rPr>
        <w:t xml:space="preserve">United States Food and Drug Administration’s (FDA’s) </w:t>
      </w:r>
      <w:r w:rsidR="00F733F9">
        <w:rPr>
          <w:rFonts w:ascii="Helvetica" w:hAnsi="Helvetica" w:cs="Arial"/>
          <w:color w:val="333333"/>
          <w:lang w:val="en"/>
        </w:rPr>
        <w:t xml:space="preserve">review of information and data submitted by industry. The FDA has not questioned the GRAS status of certain high-purity steviol glycosides for use in food (FDA, 2018). </w:t>
      </w:r>
      <w:r w:rsidR="00600E4C">
        <w:rPr>
          <w:lang w:eastAsia="en-AU" w:bidi="ar-SA"/>
        </w:rPr>
        <w:t xml:space="preserve">There are numerous GRAS notifications to the FDA for steviol glycoside preparations used as intense sweeteners in a range of food categories. </w:t>
      </w:r>
    </w:p>
    <w:p w14:paraId="3E906D5A" w14:textId="77777777" w:rsidR="00600E4C" w:rsidRDefault="00600E4C" w:rsidP="001452A7">
      <w:pPr>
        <w:rPr>
          <w:lang w:eastAsia="en-AU" w:bidi="ar-SA"/>
        </w:rPr>
      </w:pPr>
    </w:p>
    <w:p w14:paraId="325888B7" w14:textId="02ACE9C2" w:rsidR="00245EB3" w:rsidRPr="001452A7" w:rsidRDefault="00245EB3" w:rsidP="001452A7">
      <w:pPr>
        <w:rPr>
          <w:lang w:eastAsia="en-AU" w:bidi="ar-SA"/>
        </w:rPr>
      </w:pPr>
      <w:r>
        <w:rPr>
          <w:lang w:eastAsia="en-AU" w:bidi="ar-SA"/>
        </w:rPr>
        <w:t xml:space="preserve">The United States Pharmocopeial Convention Food Chemicals Codex (FCC) contains a </w:t>
      </w:r>
      <w:r w:rsidR="00147A12">
        <w:rPr>
          <w:lang w:eastAsia="en-AU" w:bidi="ar-SA"/>
        </w:rPr>
        <w:t xml:space="preserve">product </w:t>
      </w:r>
      <w:r>
        <w:rPr>
          <w:lang w:eastAsia="en-AU" w:bidi="ar-SA"/>
        </w:rPr>
        <w:t xml:space="preserve">specification </w:t>
      </w:r>
      <w:r w:rsidR="00DE76CC">
        <w:rPr>
          <w:lang w:eastAsia="en-AU" w:bidi="ar-SA"/>
        </w:rPr>
        <w:t>f</w:t>
      </w:r>
      <w:r>
        <w:rPr>
          <w:lang w:eastAsia="en-AU" w:bidi="ar-SA"/>
        </w:rPr>
        <w:t xml:space="preserve">or steviol glycosides. </w:t>
      </w:r>
    </w:p>
    <w:p w14:paraId="2891EE75" w14:textId="5222779F" w:rsidR="00E07743" w:rsidRDefault="00E07743" w:rsidP="009218F4">
      <w:pPr>
        <w:pStyle w:val="Heading3"/>
      </w:pPr>
      <w:bookmarkStart w:id="40" w:name="_Toc524356786"/>
      <w:bookmarkStart w:id="41" w:name="_Toc526338051"/>
      <w:r>
        <w:t xml:space="preserve">1.4.4 </w:t>
      </w:r>
      <w:r w:rsidR="009218F4">
        <w:t>Canada</w:t>
      </w:r>
      <w:bookmarkEnd w:id="40"/>
      <w:bookmarkEnd w:id="41"/>
    </w:p>
    <w:p w14:paraId="0F53FCFC" w14:textId="496B9066" w:rsidR="001452A7" w:rsidRPr="00245EB3" w:rsidRDefault="00044790" w:rsidP="00245EB3">
      <w:pPr>
        <w:rPr>
          <w:lang w:eastAsia="en-AU" w:bidi="ar-SA"/>
        </w:rPr>
      </w:pPr>
      <w:r>
        <w:rPr>
          <w:lang w:eastAsia="en-AU" w:bidi="ar-SA"/>
        </w:rPr>
        <w:t>Health Canada</w:t>
      </w:r>
      <w:r w:rsidR="00DE76CC">
        <w:rPr>
          <w:lang w:eastAsia="en-AU" w:bidi="ar-SA"/>
        </w:rPr>
        <w:t xml:space="preserve"> </w:t>
      </w:r>
      <w:r w:rsidR="00082B77">
        <w:rPr>
          <w:lang w:eastAsia="en-AU" w:bidi="ar-SA"/>
        </w:rPr>
        <w:t>permit</w:t>
      </w:r>
      <w:r w:rsidR="00A812B0">
        <w:rPr>
          <w:lang w:eastAsia="en-AU" w:bidi="ar-SA"/>
        </w:rPr>
        <w:t>s</w:t>
      </w:r>
      <w:r w:rsidR="00DE76CC">
        <w:rPr>
          <w:lang w:eastAsia="en-AU" w:bidi="ar-SA"/>
        </w:rPr>
        <w:t xml:space="preserve"> the use of steviol glycoside as a </w:t>
      </w:r>
      <w:r w:rsidR="004170C5">
        <w:rPr>
          <w:lang w:eastAsia="en-AU" w:bidi="ar-SA"/>
        </w:rPr>
        <w:t xml:space="preserve">food additive </w:t>
      </w:r>
      <w:r w:rsidR="000C0453">
        <w:rPr>
          <w:lang w:eastAsia="en-AU" w:bidi="ar-SA"/>
        </w:rPr>
        <w:t>(</w:t>
      </w:r>
      <w:r w:rsidR="00DE76CC">
        <w:rPr>
          <w:lang w:eastAsia="en-AU" w:bidi="ar-SA"/>
        </w:rPr>
        <w:t>sweetener</w:t>
      </w:r>
      <w:r w:rsidR="000C0453">
        <w:rPr>
          <w:lang w:eastAsia="en-AU" w:bidi="ar-SA"/>
        </w:rPr>
        <w:t>)</w:t>
      </w:r>
      <w:r w:rsidR="00DE76CC">
        <w:rPr>
          <w:lang w:eastAsia="en-AU" w:bidi="ar-SA"/>
        </w:rPr>
        <w:t xml:space="preserve"> in a range of foods</w:t>
      </w:r>
      <w:r w:rsidR="00CC4B0A">
        <w:rPr>
          <w:lang w:eastAsia="en-AU" w:bidi="ar-SA"/>
        </w:rPr>
        <w:t xml:space="preserve"> under the Food and Drugs Act and marketing authorisations for use of sweeteners (Health Canada </w:t>
      </w:r>
      <w:r w:rsidR="00302121">
        <w:rPr>
          <w:lang w:eastAsia="en-AU" w:bidi="ar-SA"/>
        </w:rPr>
        <w:t>2018a</w:t>
      </w:r>
      <w:r w:rsidR="00CC4B0A">
        <w:rPr>
          <w:lang w:eastAsia="en-AU" w:bidi="ar-SA"/>
        </w:rPr>
        <w:t>)</w:t>
      </w:r>
      <w:r w:rsidR="00DE76CC">
        <w:rPr>
          <w:lang w:eastAsia="en-AU" w:bidi="ar-SA"/>
        </w:rPr>
        <w:t xml:space="preserve">. Steviol glycosides </w:t>
      </w:r>
      <w:r w:rsidR="000B5B80">
        <w:rPr>
          <w:lang w:eastAsia="en-AU" w:bidi="ar-SA"/>
        </w:rPr>
        <w:t xml:space="preserve">calculated as steviol equivalents </w:t>
      </w:r>
      <w:r w:rsidR="00DE76CC">
        <w:rPr>
          <w:lang w:eastAsia="en-AU" w:bidi="ar-SA"/>
        </w:rPr>
        <w:t xml:space="preserve">are permitted </w:t>
      </w:r>
      <w:r w:rsidR="000B5B80">
        <w:rPr>
          <w:lang w:eastAsia="en-AU" w:bidi="ar-SA"/>
        </w:rPr>
        <w:t>in category S.1.2 (3) for unstandardized beverage concentrates, unstandardized beverages, unstandardized beverage mixes at a m</w:t>
      </w:r>
      <w:r w:rsidR="00147A12">
        <w:rPr>
          <w:lang w:eastAsia="en-AU" w:bidi="ar-SA"/>
        </w:rPr>
        <w:t>a</w:t>
      </w:r>
      <w:r w:rsidR="000B5B80">
        <w:rPr>
          <w:lang w:eastAsia="en-AU" w:bidi="ar-SA"/>
        </w:rPr>
        <w:t>ximum permitted level of 0.02% in beverages as consumed</w:t>
      </w:r>
      <w:r w:rsidR="00147A12">
        <w:rPr>
          <w:lang w:eastAsia="en-AU" w:bidi="ar-SA"/>
        </w:rPr>
        <w:t xml:space="preserve"> (Health Canada, </w:t>
      </w:r>
      <w:r w:rsidR="00302121">
        <w:rPr>
          <w:lang w:eastAsia="en-AU" w:bidi="ar-SA"/>
        </w:rPr>
        <w:t>2018</w:t>
      </w:r>
      <w:r w:rsidR="00600E4C">
        <w:rPr>
          <w:lang w:eastAsia="en-AU" w:bidi="ar-SA"/>
        </w:rPr>
        <w:t>b</w:t>
      </w:r>
      <w:r w:rsidR="00147A12">
        <w:rPr>
          <w:lang w:eastAsia="en-AU" w:bidi="ar-SA"/>
        </w:rPr>
        <w:t>)</w:t>
      </w:r>
      <w:r w:rsidR="000B5B80">
        <w:rPr>
          <w:lang w:eastAsia="en-AU" w:bidi="ar-SA"/>
        </w:rPr>
        <w:t xml:space="preserve">. </w:t>
      </w:r>
    </w:p>
    <w:p w14:paraId="58B32D97" w14:textId="07E57B86" w:rsidR="00E07743" w:rsidRDefault="00E07743" w:rsidP="00E07743">
      <w:pPr>
        <w:rPr>
          <w:lang w:eastAsia="en-AU" w:bidi="ar-SA"/>
        </w:rPr>
      </w:pPr>
    </w:p>
    <w:p w14:paraId="30F5C93E" w14:textId="6CD7C9CF" w:rsidR="0034640A" w:rsidRDefault="00147A12" w:rsidP="0034640A">
      <w:r>
        <w:t>Health Canada follow</w:t>
      </w:r>
      <w:r w:rsidR="00A812B0">
        <w:t>s</w:t>
      </w:r>
      <w:r>
        <w:t xml:space="preserve"> </w:t>
      </w:r>
      <w:r w:rsidR="00C24B09">
        <w:t xml:space="preserve">JECFA </w:t>
      </w:r>
      <w:r>
        <w:t xml:space="preserve">product specifications for steviol glycosides </w:t>
      </w:r>
      <w:r w:rsidR="00DC62DA">
        <w:t xml:space="preserve">and, as such, are </w:t>
      </w:r>
      <w:r>
        <w:t xml:space="preserve">consistent with Codex and also the USA’s FCC (Health Canada, </w:t>
      </w:r>
      <w:r w:rsidR="00600E4C">
        <w:t>2018c</w:t>
      </w:r>
      <w:r>
        <w:t xml:space="preserve">). </w:t>
      </w:r>
      <w:bookmarkStart w:id="42" w:name="_Toc524356787"/>
    </w:p>
    <w:p w14:paraId="49218ED3" w14:textId="3728BD5F" w:rsidR="00AE5EB1" w:rsidRDefault="00AE5EB1" w:rsidP="00AE5EB1">
      <w:pPr>
        <w:pStyle w:val="Heading3"/>
      </w:pPr>
      <w:bookmarkStart w:id="43" w:name="_Toc526338052"/>
      <w:r>
        <w:t>1.4.5 Other countries</w:t>
      </w:r>
      <w:bookmarkEnd w:id="42"/>
      <w:bookmarkEnd w:id="43"/>
    </w:p>
    <w:p w14:paraId="1AA88D6A" w14:textId="397D462A" w:rsidR="00AE5EB1" w:rsidRDefault="00AE5EB1" w:rsidP="00E07743">
      <w:pPr>
        <w:rPr>
          <w:lang w:eastAsia="en-AU" w:bidi="ar-SA"/>
        </w:rPr>
      </w:pPr>
      <w:r>
        <w:rPr>
          <w:lang w:eastAsia="en-AU" w:bidi="ar-SA"/>
        </w:rPr>
        <w:t xml:space="preserve">Steviol </w:t>
      </w:r>
      <w:r w:rsidR="00251EA8">
        <w:rPr>
          <w:lang w:eastAsia="en-AU" w:bidi="ar-SA"/>
        </w:rPr>
        <w:t>glycosides</w:t>
      </w:r>
      <w:r>
        <w:rPr>
          <w:lang w:eastAsia="en-AU" w:bidi="ar-SA"/>
        </w:rPr>
        <w:t xml:space="preserve"> </w:t>
      </w:r>
      <w:r w:rsidR="001174EC">
        <w:rPr>
          <w:lang w:eastAsia="en-AU" w:bidi="ar-SA"/>
        </w:rPr>
        <w:t xml:space="preserve">are </w:t>
      </w:r>
      <w:r>
        <w:rPr>
          <w:lang w:eastAsia="en-AU" w:bidi="ar-SA"/>
        </w:rPr>
        <w:t xml:space="preserve">permitted </w:t>
      </w:r>
      <w:r w:rsidR="00251EA8">
        <w:rPr>
          <w:lang w:eastAsia="en-AU" w:bidi="ar-SA"/>
        </w:rPr>
        <w:t xml:space="preserve">in </w:t>
      </w:r>
      <w:r w:rsidR="00CC4B0A">
        <w:rPr>
          <w:lang w:eastAsia="en-AU" w:bidi="ar-SA"/>
        </w:rPr>
        <w:t xml:space="preserve">a range of foods </w:t>
      </w:r>
      <w:r w:rsidR="00251EA8">
        <w:rPr>
          <w:lang w:eastAsia="en-AU" w:bidi="ar-SA"/>
        </w:rPr>
        <w:t>in other countries including</w:t>
      </w:r>
      <w:r w:rsidR="009C2D8E">
        <w:rPr>
          <w:lang w:eastAsia="en-AU" w:bidi="ar-SA"/>
        </w:rPr>
        <w:t>;</w:t>
      </w:r>
    </w:p>
    <w:p w14:paraId="75E29D13" w14:textId="4BC53475" w:rsidR="001174EC" w:rsidRDefault="001174EC" w:rsidP="001174EC">
      <w:pPr>
        <w:pStyle w:val="FSBullet1"/>
        <w:rPr>
          <w:lang w:eastAsia="en-AU"/>
        </w:rPr>
      </w:pPr>
      <w:r>
        <w:rPr>
          <w:lang w:eastAsia="en-AU"/>
        </w:rPr>
        <w:t>Asia – Japan, India, South Korea, China, Malaysia, Indonesia, Singapore, Taiwan</w:t>
      </w:r>
    </w:p>
    <w:p w14:paraId="677A54CD" w14:textId="4A618D38" w:rsidR="001174EC" w:rsidRDefault="001174EC" w:rsidP="001174EC">
      <w:pPr>
        <w:pStyle w:val="FSBullet1"/>
        <w:rPr>
          <w:lang w:eastAsia="en-AU"/>
        </w:rPr>
      </w:pPr>
      <w:r>
        <w:rPr>
          <w:lang w:eastAsia="en-AU"/>
        </w:rPr>
        <w:t>Central and South America – Brazil, Argentina, Paraguay, Uruguay, Mexico, Peru, Columbia</w:t>
      </w:r>
    </w:p>
    <w:p w14:paraId="54BE1D36" w14:textId="10857334" w:rsidR="00C02B0F" w:rsidRPr="00C02B0F" w:rsidRDefault="00C02B0F" w:rsidP="00C02B0F">
      <w:pPr>
        <w:pStyle w:val="FSBullet1"/>
        <w:rPr>
          <w:lang w:eastAsia="en-AU"/>
        </w:rPr>
      </w:pPr>
      <w:r>
        <w:rPr>
          <w:lang w:eastAsia="en-AU"/>
        </w:rPr>
        <w:t>India</w:t>
      </w:r>
    </w:p>
    <w:p w14:paraId="0339322D" w14:textId="7E7F4882" w:rsidR="001174EC" w:rsidRDefault="001174EC" w:rsidP="001174EC">
      <w:pPr>
        <w:pStyle w:val="FSBullet1"/>
        <w:rPr>
          <w:lang w:eastAsia="en-AU"/>
        </w:rPr>
      </w:pPr>
      <w:r>
        <w:rPr>
          <w:lang w:eastAsia="en-AU"/>
        </w:rPr>
        <w:t>Africa</w:t>
      </w:r>
    </w:p>
    <w:p w14:paraId="740DA05B" w14:textId="16793C21" w:rsidR="001174EC" w:rsidRDefault="001174EC" w:rsidP="001174EC">
      <w:pPr>
        <w:pStyle w:val="FSBullet1"/>
        <w:rPr>
          <w:lang w:eastAsia="en-AU"/>
        </w:rPr>
      </w:pPr>
      <w:r>
        <w:rPr>
          <w:lang w:eastAsia="en-AU"/>
        </w:rPr>
        <w:t>Israel</w:t>
      </w:r>
    </w:p>
    <w:p w14:paraId="44048A44" w14:textId="5C36B010" w:rsidR="001174EC" w:rsidRDefault="001174EC" w:rsidP="001174EC">
      <w:pPr>
        <w:pStyle w:val="FSBullet1"/>
        <w:rPr>
          <w:lang w:eastAsia="en-AU"/>
        </w:rPr>
      </w:pPr>
      <w:r>
        <w:rPr>
          <w:lang w:eastAsia="en-AU"/>
        </w:rPr>
        <w:t>Russia</w:t>
      </w:r>
    </w:p>
    <w:p w14:paraId="441910B6" w14:textId="2792DE6E" w:rsidR="00251EA8" w:rsidRPr="005A349D" w:rsidRDefault="001174EC" w:rsidP="00011429">
      <w:pPr>
        <w:pStyle w:val="FSBullet1"/>
        <w:rPr>
          <w:lang w:eastAsia="en-AU"/>
        </w:rPr>
      </w:pPr>
      <w:r w:rsidRPr="00011429">
        <w:t>Switzerland</w:t>
      </w:r>
    </w:p>
    <w:p w14:paraId="42A70FE0" w14:textId="228F75B2" w:rsidR="00AF387F" w:rsidRPr="000C31F3" w:rsidRDefault="00034871" w:rsidP="00D062E4">
      <w:pPr>
        <w:pStyle w:val="Heading2"/>
        <w:rPr>
          <w:u w:color="FFFF00"/>
        </w:rPr>
      </w:pPr>
      <w:bookmarkStart w:id="44" w:name="_Toc524356788"/>
      <w:bookmarkStart w:id="45" w:name="_Toc526338053"/>
      <w:r>
        <w:rPr>
          <w:u w:color="FFFF00"/>
        </w:rPr>
        <w:t xml:space="preserve">1.5 </w:t>
      </w:r>
      <w:r>
        <w:rPr>
          <w:u w:color="FFFF00"/>
        </w:rPr>
        <w:tab/>
      </w:r>
      <w:r w:rsidR="00741EFE">
        <w:rPr>
          <w:u w:color="FFFF00"/>
        </w:rPr>
        <w:t xml:space="preserve">Reasons for </w:t>
      </w:r>
      <w:r w:rsidR="00741EFE" w:rsidRPr="000C31F3">
        <w:rPr>
          <w:u w:color="FFFF00"/>
        </w:rPr>
        <w:t xml:space="preserve">accepting </w:t>
      </w:r>
      <w:r w:rsidR="00F33A4D" w:rsidRPr="000C31F3">
        <w:rPr>
          <w:u w:color="FFFF00"/>
        </w:rPr>
        <w:t>the a</w:t>
      </w:r>
      <w:r w:rsidR="00AF387F" w:rsidRPr="000C31F3">
        <w:rPr>
          <w:u w:color="FFFF00"/>
        </w:rPr>
        <w:t>pplication</w:t>
      </w:r>
      <w:bookmarkEnd w:id="31"/>
      <w:bookmarkEnd w:id="44"/>
      <w:bookmarkEnd w:id="45"/>
      <w:r w:rsidR="00180C41" w:rsidRPr="000C31F3">
        <w:rPr>
          <w:u w:color="FFFF00"/>
        </w:rPr>
        <w:t xml:space="preserve"> </w:t>
      </w:r>
      <w:bookmarkEnd w:id="32"/>
    </w:p>
    <w:p w14:paraId="3C4547D1" w14:textId="38AB0787" w:rsidR="00180C41" w:rsidRDefault="007C1AFA" w:rsidP="00180C41">
      <w:bookmarkStart w:id="46" w:name="_Toc286391008"/>
      <w:bookmarkStart w:id="47" w:name="_Toc11735630"/>
      <w:bookmarkStart w:id="48" w:name="_Toc29883114"/>
      <w:bookmarkStart w:id="49" w:name="_Toc41906801"/>
      <w:bookmarkStart w:id="50" w:name="_Toc41907548"/>
      <w:bookmarkStart w:id="51" w:name="_Toc120358578"/>
      <w:bookmarkStart w:id="52" w:name="_Toc175381435"/>
      <w:bookmarkEnd w:id="5"/>
      <w:bookmarkEnd w:id="6"/>
      <w:bookmarkEnd w:id="7"/>
      <w:bookmarkEnd w:id="8"/>
      <w:bookmarkEnd w:id="9"/>
      <w:bookmarkEnd w:id="33"/>
      <w:r w:rsidRPr="007C1AFA">
        <w:t>The a</w:t>
      </w:r>
      <w:r w:rsidR="00180C41" w:rsidRPr="007C1AFA">
        <w:t xml:space="preserve">pplication was accepted for assessment </w:t>
      </w:r>
      <w:r w:rsidR="00741EFE" w:rsidRPr="007C1AFA">
        <w:t>because</w:t>
      </w:r>
      <w:r w:rsidR="00180C41" w:rsidRPr="007C1AFA">
        <w:t>:</w:t>
      </w:r>
    </w:p>
    <w:p w14:paraId="144C9000" w14:textId="77777777" w:rsidR="007C1AFA" w:rsidRPr="007C1AFA" w:rsidRDefault="007C1AFA" w:rsidP="00180C41"/>
    <w:p w14:paraId="48E0E35C" w14:textId="42CBB144" w:rsidR="00180C41" w:rsidRPr="007C1AFA" w:rsidRDefault="00741EFE" w:rsidP="007C1AFA">
      <w:pPr>
        <w:pStyle w:val="ListParagraph"/>
        <w:numPr>
          <w:ilvl w:val="0"/>
          <w:numId w:val="9"/>
        </w:numPr>
      </w:pPr>
      <w:r w:rsidRPr="007C1AFA">
        <w:t>it complied</w:t>
      </w:r>
      <w:r w:rsidR="00180C41" w:rsidRPr="007C1AFA">
        <w:t xml:space="preserve"> with the procedural requirements under s</w:t>
      </w:r>
      <w:r w:rsidR="00944BA4" w:rsidRPr="007C1AFA">
        <w:t>ubsection</w:t>
      </w:r>
      <w:r w:rsidR="00180C41" w:rsidRPr="007C1AFA">
        <w:t xml:space="preserve"> 22(2)</w:t>
      </w:r>
      <w:r w:rsidR="007C1AFA" w:rsidRPr="007C1AFA">
        <w:t xml:space="preserve"> of the </w:t>
      </w:r>
      <w:r w:rsidR="007C1AFA" w:rsidRPr="007C1AFA">
        <w:rPr>
          <w:i/>
        </w:rPr>
        <w:t xml:space="preserve">Food Standards Australia New Zealand Act </w:t>
      </w:r>
      <w:r w:rsidR="007C1AFA" w:rsidRPr="007C1AFA">
        <w:t>1991 (FSANZ Act)</w:t>
      </w:r>
      <w:r w:rsidR="00DC62DA">
        <w:t>; and</w:t>
      </w:r>
    </w:p>
    <w:p w14:paraId="03A3DF16" w14:textId="1FA61793" w:rsidR="00180C41" w:rsidRPr="00380106" w:rsidRDefault="00741EFE" w:rsidP="0018076C">
      <w:pPr>
        <w:pStyle w:val="ListParagraph"/>
      </w:pPr>
      <w:r w:rsidRPr="007C1AFA">
        <w:t xml:space="preserve">it related to a matter that warranted </w:t>
      </w:r>
      <w:r w:rsidR="00180C41" w:rsidRPr="007C1AFA">
        <w:t xml:space="preserve">the variation of a food regulatory </w:t>
      </w:r>
      <w:r w:rsidR="00790E8B" w:rsidRPr="007C1AFA">
        <w:t>measure</w:t>
      </w:r>
    </w:p>
    <w:p w14:paraId="76B899C9" w14:textId="5446BCE5" w:rsidR="00DE79D9" w:rsidRDefault="00034871" w:rsidP="00DE79D9">
      <w:pPr>
        <w:pStyle w:val="Heading2"/>
      </w:pPr>
      <w:bookmarkStart w:id="53" w:name="_Toc524356789"/>
      <w:bookmarkStart w:id="54" w:name="_Toc526338054"/>
      <w:r>
        <w:t>1.6</w:t>
      </w:r>
      <w:r w:rsidR="00DE79D9">
        <w:tab/>
        <w:t>Procedure for assessment</w:t>
      </w:r>
      <w:bookmarkEnd w:id="53"/>
      <w:bookmarkEnd w:id="54"/>
    </w:p>
    <w:p w14:paraId="22F0A324" w14:textId="3A8C963B" w:rsidR="00DE79D9" w:rsidRDefault="00DE79D9" w:rsidP="00DE79D9">
      <w:r w:rsidRPr="00932F14">
        <w:t xml:space="preserve">The </w:t>
      </w:r>
      <w:r w:rsidR="00790E8B" w:rsidRPr="007C1AFA">
        <w:t>a</w:t>
      </w:r>
      <w:r w:rsidRPr="007C1AFA">
        <w:t>pplication</w:t>
      </w:r>
      <w:r w:rsidRPr="00CA5734">
        <w:rPr>
          <w:color w:val="FF0000"/>
        </w:rPr>
        <w:t xml:space="preserve"> </w:t>
      </w:r>
      <w:r>
        <w:t xml:space="preserve">is being </w:t>
      </w:r>
      <w:r w:rsidRPr="00932F14">
        <w:t xml:space="preserve">assessed under the </w:t>
      </w:r>
      <w:r w:rsidR="00790E8B" w:rsidRPr="007C1AFA">
        <w:t>g</w:t>
      </w:r>
      <w:r w:rsidRPr="007C1AFA">
        <w:t>eneral</w:t>
      </w:r>
      <w:r w:rsidR="00401903" w:rsidRPr="00F82BE4">
        <w:t xml:space="preserve"> </w:t>
      </w:r>
      <w:r w:rsidR="00F33A4D">
        <w:t>p</w:t>
      </w:r>
      <w:r w:rsidRPr="00932F14">
        <w:t>rocedure.</w:t>
      </w:r>
    </w:p>
    <w:p w14:paraId="04AF5DF2" w14:textId="77777777" w:rsidR="00DE79D9" w:rsidRPr="00D062E4" w:rsidRDefault="00DE79D9" w:rsidP="00180C41"/>
    <w:p w14:paraId="56B3B36D" w14:textId="77777777" w:rsidR="00AF387F" w:rsidRPr="00180C41" w:rsidRDefault="00D3171B" w:rsidP="00180C41">
      <w:pPr>
        <w:pStyle w:val="Heading1"/>
      </w:pPr>
      <w:bookmarkStart w:id="55" w:name="_Toc300933424"/>
      <w:bookmarkStart w:id="56" w:name="_Toc524356790"/>
      <w:bookmarkStart w:id="57" w:name="_Toc526338055"/>
      <w:r>
        <w:lastRenderedPageBreak/>
        <w:t>2</w:t>
      </w:r>
      <w:r w:rsidR="001542D8">
        <w:tab/>
      </w:r>
      <w:r w:rsidR="00350DBD">
        <w:t>S</w:t>
      </w:r>
      <w:r w:rsidR="00FB1533">
        <w:t>ummary of the a</w:t>
      </w:r>
      <w:r w:rsidR="00FD2FBE">
        <w:t>ssessment</w:t>
      </w:r>
      <w:bookmarkEnd w:id="46"/>
      <w:bookmarkEnd w:id="55"/>
      <w:bookmarkEnd w:id="56"/>
      <w:bookmarkEnd w:id="57"/>
    </w:p>
    <w:p w14:paraId="01AE2A2B" w14:textId="4DDB971B" w:rsidR="00C801F5" w:rsidRPr="00932F14" w:rsidRDefault="000F2F47" w:rsidP="00C801F5">
      <w:pPr>
        <w:pStyle w:val="Heading2"/>
      </w:pPr>
      <w:bookmarkStart w:id="58" w:name="_Toc524356791"/>
      <w:bookmarkStart w:id="59" w:name="_Toc526338056"/>
      <w:bookmarkStart w:id="60" w:name="_Toc300933438"/>
      <w:bookmarkStart w:id="61" w:name="_Toc286391009"/>
      <w:bookmarkStart w:id="62" w:name="_Toc300933425"/>
      <w:bookmarkStart w:id="63" w:name="_Toc120358583"/>
      <w:bookmarkStart w:id="64" w:name="_Toc175381440"/>
      <w:r w:rsidRPr="000F2F47">
        <w:rPr>
          <w:color w:val="000000" w:themeColor="text1"/>
        </w:rPr>
        <w:t>2.1</w:t>
      </w:r>
      <w:r w:rsidR="00C801F5">
        <w:rPr>
          <w:color w:val="00B050"/>
        </w:rPr>
        <w:tab/>
      </w:r>
      <w:r w:rsidR="00C801F5">
        <w:t>Food technology, hazard and dietary exposure assessment</w:t>
      </w:r>
      <w:bookmarkEnd w:id="58"/>
      <w:bookmarkEnd w:id="59"/>
      <w:r w:rsidR="00C801F5" w:rsidRPr="00932F14">
        <w:t xml:space="preserve"> </w:t>
      </w:r>
    </w:p>
    <w:p w14:paraId="7198CAA3" w14:textId="0EF99FED" w:rsidR="00C801F5" w:rsidRDefault="00C801F5" w:rsidP="00C801F5">
      <w:pPr>
        <w:pStyle w:val="Heading3"/>
      </w:pPr>
      <w:bookmarkStart w:id="65" w:name="_Toc521059510"/>
      <w:bookmarkStart w:id="66" w:name="_Toc521053092"/>
      <w:bookmarkStart w:id="67" w:name="_Toc523922010"/>
      <w:bookmarkStart w:id="68" w:name="_Toc524356792"/>
      <w:bookmarkStart w:id="69" w:name="_Toc526338057"/>
      <w:r>
        <w:t>2.1.1 Food technology assessment conclusions</w:t>
      </w:r>
      <w:bookmarkEnd w:id="65"/>
      <w:bookmarkEnd w:id="66"/>
      <w:bookmarkEnd w:id="67"/>
      <w:bookmarkEnd w:id="68"/>
      <w:bookmarkEnd w:id="69"/>
    </w:p>
    <w:p w14:paraId="19790BF6" w14:textId="6318DDCB" w:rsidR="00446CF7" w:rsidRPr="00446CF7" w:rsidRDefault="00446CF7" w:rsidP="00446CF7">
      <w:pPr>
        <w:rPr>
          <w:lang w:eastAsia="en-AU" w:bidi="ar-SA"/>
        </w:rPr>
      </w:pPr>
      <w:r>
        <w:t xml:space="preserve">Steviol glycosides provide a technological </w:t>
      </w:r>
      <w:r w:rsidR="00150432">
        <w:t>purpose</w:t>
      </w:r>
      <w:r>
        <w:t xml:space="preserve"> as an intense sweetener and are already permitted in a range of foods at various maximum permitted levels, including levels </w:t>
      </w:r>
      <w:r w:rsidR="00F50D78">
        <w:t xml:space="preserve">consistent with </w:t>
      </w:r>
      <w:r>
        <w:t xml:space="preserve">good manufacturing practice. The food technology assessment concludes that the use of steviol glycosides as a food additive in fruit drinks, is technologically justified in the quantity and form proposed. </w:t>
      </w:r>
    </w:p>
    <w:p w14:paraId="3C871FBF" w14:textId="77777777" w:rsidR="00C801F5" w:rsidRDefault="00C801F5" w:rsidP="00C801F5">
      <w:pPr>
        <w:pStyle w:val="Heading3"/>
      </w:pPr>
      <w:bookmarkStart w:id="70" w:name="_Toc521059511"/>
      <w:bookmarkStart w:id="71" w:name="_Toc521053093"/>
      <w:bookmarkStart w:id="72" w:name="_Toc523922011"/>
      <w:bookmarkStart w:id="73" w:name="_Toc524356793"/>
      <w:bookmarkStart w:id="74" w:name="_Toc526338058"/>
      <w:r>
        <w:t>2.1.2 Hazard and dietary exposure assessment conclusions</w:t>
      </w:r>
      <w:bookmarkEnd w:id="70"/>
      <w:bookmarkEnd w:id="71"/>
      <w:bookmarkEnd w:id="72"/>
      <w:bookmarkEnd w:id="73"/>
      <w:bookmarkEnd w:id="74"/>
    </w:p>
    <w:bookmarkEnd w:id="60"/>
    <w:bookmarkEnd w:id="61"/>
    <w:bookmarkEnd w:id="62"/>
    <w:bookmarkEnd w:id="63"/>
    <w:bookmarkEnd w:id="64"/>
    <w:p w14:paraId="156CBC96" w14:textId="26F9BB6C" w:rsidR="00446CF7" w:rsidRDefault="00446CF7" w:rsidP="00446CF7">
      <w:r>
        <w:t xml:space="preserve">An acceptable daily intake (ADI) of 0-4 mg/kg bw for steviol glycosides, expressed as steviol, was established by </w:t>
      </w:r>
      <w:r w:rsidR="00DC62DA">
        <w:t>FSANZ</w:t>
      </w:r>
      <w:r>
        <w:t xml:space="preserve"> and </w:t>
      </w:r>
      <w:r w:rsidR="00DC62DA">
        <w:t>JECFA</w:t>
      </w:r>
      <w:r>
        <w:t xml:space="preserve"> (FSANZ 2008, JECFA 2009). Toxicological and other relevant data </w:t>
      </w:r>
      <w:r w:rsidRPr="00A32983">
        <w:t xml:space="preserve">published subsequent to FSANZ’s previous assessments </w:t>
      </w:r>
      <w:r>
        <w:t xml:space="preserve">of steviol glycosides </w:t>
      </w:r>
      <w:r w:rsidRPr="00A32983">
        <w:t>raise</w:t>
      </w:r>
      <w:r>
        <w:t>d</w:t>
      </w:r>
      <w:r w:rsidRPr="00A32983">
        <w:t xml:space="preserve"> no concerns </w:t>
      </w:r>
      <w:r w:rsidR="000C0453">
        <w:t xml:space="preserve">about </w:t>
      </w:r>
      <w:r w:rsidRPr="00A32983">
        <w:t>the safety of steviol glycosides and d</w:t>
      </w:r>
      <w:r>
        <w:t>id</w:t>
      </w:r>
      <w:r w:rsidRPr="00A32983">
        <w:t xml:space="preserve"> not indicate a need to </w:t>
      </w:r>
      <w:r>
        <w:t>amend</w:t>
      </w:r>
      <w:r w:rsidRPr="00A32983">
        <w:t xml:space="preserve"> the ADI.</w:t>
      </w:r>
      <w:r w:rsidR="00372666">
        <w:t xml:space="preserve"> </w:t>
      </w:r>
    </w:p>
    <w:p w14:paraId="77A64BC0" w14:textId="77777777" w:rsidR="00446CF7" w:rsidRDefault="00446CF7" w:rsidP="00446CF7"/>
    <w:p w14:paraId="34E038F7" w14:textId="09E97984" w:rsidR="00A351DE" w:rsidRDefault="00A351DE" w:rsidP="00A351DE">
      <w:pPr>
        <w:rPr>
          <w:rFonts w:cs="Arial"/>
        </w:rPr>
      </w:pPr>
      <w:r>
        <w:rPr>
          <w:rFonts w:cs="Arial"/>
        </w:rPr>
        <w:t xml:space="preserve">Dietary exposure as a </w:t>
      </w:r>
      <w:r w:rsidRPr="001531C2">
        <w:rPr>
          <w:rFonts w:cs="Arial"/>
        </w:rPr>
        <w:t xml:space="preserve">proportion of the ADI for the </w:t>
      </w:r>
      <w:r w:rsidRPr="0010523F">
        <w:rPr>
          <w:rFonts w:cs="Arial"/>
          <w:i/>
        </w:rPr>
        <w:t>Refined baseline</w:t>
      </w:r>
      <w:r w:rsidRPr="001531C2">
        <w:rPr>
          <w:rFonts w:cs="Arial"/>
        </w:rPr>
        <w:t xml:space="preserve"> </w:t>
      </w:r>
      <w:r>
        <w:rPr>
          <w:rFonts w:cs="Arial"/>
        </w:rPr>
        <w:t xml:space="preserve">(current food categories permitted to contain steviol glycoside with actual industry use levels) </w:t>
      </w:r>
      <w:r w:rsidRPr="001531C2">
        <w:rPr>
          <w:rFonts w:cs="Arial"/>
        </w:rPr>
        <w:t>at the mean and 90</w:t>
      </w:r>
      <w:r w:rsidRPr="001531C2">
        <w:rPr>
          <w:rFonts w:cs="Arial"/>
          <w:vertAlign w:val="superscript"/>
        </w:rPr>
        <w:t>th</w:t>
      </w:r>
      <w:r w:rsidRPr="001531C2">
        <w:rPr>
          <w:rFonts w:cs="Arial"/>
        </w:rPr>
        <w:t xml:space="preserve"> percentile ranged between 35</w:t>
      </w:r>
      <w:r w:rsidR="000C327E">
        <w:rPr>
          <w:rFonts w:cs="Arial"/>
        </w:rPr>
        <w:t>‒</w:t>
      </w:r>
      <w:r w:rsidRPr="001531C2">
        <w:rPr>
          <w:rFonts w:cs="Arial"/>
        </w:rPr>
        <w:t>45% and 55</w:t>
      </w:r>
      <w:r w:rsidR="000C327E">
        <w:rPr>
          <w:rFonts w:cs="Arial"/>
        </w:rPr>
        <w:t>‒</w:t>
      </w:r>
      <w:r w:rsidRPr="001531C2">
        <w:rPr>
          <w:rFonts w:cs="Arial"/>
        </w:rPr>
        <w:t>90%</w:t>
      </w:r>
      <w:r w:rsidR="009748B2">
        <w:rPr>
          <w:rFonts w:cs="Arial"/>
        </w:rPr>
        <w:t>,</w:t>
      </w:r>
      <w:r w:rsidRPr="001531C2">
        <w:rPr>
          <w:rFonts w:cs="Arial"/>
        </w:rPr>
        <w:t xml:space="preserve"> respectively</w:t>
      </w:r>
      <w:r w:rsidR="009748B2">
        <w:rPr>
          <w:rFonts w:cs="Arial"/>
        </w:rPr>
        <w:t>,</w:t>
      </w:r>
      <w:r w:rsidRPr="001531C2">
        <w:rPr>
          <w:rFonts w:cs="Arial"/>
        </w:rPr>
        <w:t xml:space="preserve"> across all of the </w:t>
      </w:r>
      <w:r>
        <w:rPr>
          <w:rFonts w:cs="Arial"/>
        </w:rPr>
        <w:t xml:space="preserve">Australian and New Zealand </w:t>
      </w:r>
      <w:r w:rsidRPr="001531C2">
        <w:rPr>
          <w:rFonts w:cs="Arial"/>
        </w:rPr>
        <w:t xml:space="preserve">population groups assessed. For the </w:t>
      </w:r>
      <w:r w:rsidRPr="0010523F">
        <w:rPr>
          <w:rFonts w:cs="Arial"/>
          <w:i/>
        </w:rPr>
        <w:t>Refined extension of use</w:t>
      </w:r>
      <w:r w:rsidRPr="001531C2">
        <w:rPr>
          <w:rFonts w:cs="Arial"/>
        </w:rPr>
        <w:t xml:space="preserve"> </w:t>
      </w:r>
      <w:r>
        <w:rPr>
          <w:rFonts w:cs="Arial"/>
        </w:rPr>
        <w:t>scenario (</w:t>
      </w:r>
      <w:r w:rsidRPr="0010523F">
        <w:rPr>
          <w:rFonts w:cs="Arial"/>
          <w:i/>
        </w:rPr>
        <w:t>Refined baseline</w:t>
      </w:r>
      <w:r>
        <w:rPr>
          <w:rFonts w:cs="Arial"/>
        </w:rPr>
        <w:t xml:space="preserve"> plus proposed permission for steviol glycosides in fruit drinks)</w:t>
      </w:r>
      <w:r w:rsidRPr="001531C2">
        <w:rPr>
          <w:rFonts w:cs="Arial"/>
        </w:rPr>
        <w:t>, dietary exposures at the mean and 90</w:t>
      </w:r>
      <w:r w:rsidRPr="001531C2">
        <w:rPr>
          <w:rFonts w:cs="Arial"/>
          <w:vertAlign w:val="superscript"/>
        </w:rPr>
        <w:t>th</w:t>
      </w:r>
      <w:r w:rsidRPr="001531C2">
        <w:rPr>
          <w:rFonts w:cs="Arial"/>
        </w:rPr>
        <w:t xml:space="preserve"> percentile </w:t>
      </w:r>
      <w:r w:rsidR="009748B2">
        <w:rPr>
          <w:rFonts w:cs="Arial"/>
        </w:rPr>
        <w:t>were</w:t>
      </w:r>
      <w:r w:rsidRPr="001531C2">
        <w:rPr>
          <w:rFonts w:cs="Arial"/>
        </w:rPr>
        <w:t xml:space="preserve"> between 35%–45% of the ADI and between 60%–95% of the ADI</w:t>
      </w:r>
      <w:r w:rsidR="009748B2">
        <w:rPr>
          <w:rFonts w:cs="Arial"/>
        </w:rPr>
        <w:t>,</w:t>
      </w:r>
      <w:r w:rsidRPr="001531C2">
        <w:rPr>
          <w:rFonts w:cs="Arial"/>
        </w:rPr>
        <w:t xml:space="preserve"> respectively</w:t>
      </w:r>
      <w:r w:rsidR="009748B2">
        <w:rPr>
          <w:rFonts w:cs="Arial"/>
        </w:rPr>
        <w:t>,</w:t>
      </w:r>
      <w:r w:rsidRPr="001531C2">
        <w:rPr>
          <w:rFonts w:cs="Arial"/>
        </w:rPr>
        <w:t xml:space="preserve"> across the population groups assessed. </w:t>
      </w:r>
      <w:r w:rsidRPr="001531C2">
        <w:rPr>
          <w:lang w:eastAsia="en-AU"/>
        </w:rPr>
        <w:t>Estimated dietary exposures on average only increase</w:t>
      </w:r>
      <w:r w:rsidR="009748B2">
        <w:rPr>
          <w:lang w:eastAsia="en-AU"/>
        </w:rPr>
        <w:t>d</w:t>
      </w:r>
      <w:r w:rsidRPr="001531C2">
        <w:rPr>
          <w:lang w:eastAsia="en-AU"/>
        </w:rPr>
        <w:t xml:space="preserve"> by up to </w:t>
      </w:r>
      <w:r>
        <w:rPr>
          <w:lang w:eastAsia="en-AU"/>
        </w:rPr>
        <w:t xml:space="preserve">5% of the ADI between the </w:t>
      </w:r>
      <w:r w:rsidRPr="0010523F">
        <w:rPr>
          <w:i/>
          <w:lang w:eastAsia="en-AU"/>
        </w:rPr>
        <w:t>Refined baseline</w:t>
      </w:r>
      <w:r w:rsidRPr="001531C2">
        <w:rPr>
          <w:lang w:eastAsia="en-AU"/>
        </w:rPr>
        <w:t xml:space="preserve"> and </w:t>
      </w:r>
      <w:r>
        <w:rPr>
          <w:lang w:eastAsia="en-AU"/>
        </w:rPr>
        <w:t xml:space="preserve">the </w:t>
      </w:r>
      <w:r w:rsidRPr="001531C2">
        <w:rPr>
          <w:lang w:eastAsia="en-AU"/>
        </w:rPr>
        <w:t xml:space="preserve">extension of use </w:t>
      </w:r>
      <w:r>
        <w:rPr>
          <w:lang w:eastAsia="en-AU"/>
        </w:rPr>
        <w:t>in</w:t>
      </w:r>
      <w:r w:rsidRPr="001531C2">
        <w:rPr>
          <w:lang w:eastAsia="en-AU"/>
        </w:rPr>
        <w:t xml:space="preserve"> fruit drinks. </w:t>
      </w:r>
    </w:p>
    <w:p w14:paraId="6F19D340" w14:textId="77777777" w:rsidR="00A351DE" w:rsidRDefault="00A351DE" w:rsidP="00446CF7"/>
    <w:p w14:paraId="7FAC0CE7" w14:textId="41128683" w:rsidR="00446CF7" w:rsidRDefault="00446CF7" w:rsidP="00446CF7">
      <w:r>
        <w:t xml:space="preserve">Based on the dietary exposure assessment, it </w:t>
      </w:r>
      <w:r w:rsidR="009748B2">
        <w:t xml:space="preserve">was determined </w:t>
      </w:r>
      <w:r>
        <w:t>that the ADI will not be exceeded by permitting the extension of use of steviol glycosides to fruit drinks at the MPL of 200 mg/kg steviol equivalents.</w:t>
      </w:r>
    </w:p>
    <w:p w14:paraId="0677F208" w14:textId="77777777" w:rsidR="00446CF7" w:rsidRDefault="00446CF7" w:rsidP="00446CF7"/>
    <w:p w14:paraId="428CD6FA" w14:textId="3F7DA139" w:rsidR="00446CF7" w:rsidRDefault="00372666" w:rsidP="00446CF7">
      <w:r>
        <w:rPr>
          <w:lang w:bidi="ar-SA"/>
        </w:rPr>
        <w:t xml:space="preserve">The </w:t>
      </w:r>
      <w:r>
        <w:t>hazard and dietary exposure assessment</w:t>
      </w:r>
      <w:r>
        <w:rPr>
          <w:lang w:bidi="ar-SA"/>
        </w:rPr>
        <w:t xml:space="preserve"> </w:t>
      </w:r>
      <w:r w:rsidR="00446CF7">
        <w:rPr>
          <w:lang w:bidi="ar-SA"/>
        </w:rPr>
        <w:t>conclu</w:t>
      </w:r>
      <w:r>
        <w:rPr>
          <w:lang w:bidi="ar-SA"/>
        </w:rPr>
        <w:t>sion is</w:t>
      </w:r>
      <w:r w:rsidR="00446CF7">
        <w:rPr>
          <w:lang w:bidi="ar-SA"/>
        </w:rPr>
        <w:t xml:space="preserve"> that </w:t>
      </w:r>
      <w:r w:rsidR="009748B2">
        <w:rPr>
          <w:lang w:bidi="ar-SA"/>
        </w:rPr>
        <w:t xml:space="preserve">there </w:t>
      </w:r>
      <w:r w:rsidR="00446CF7">
        <w:rPr>
          <w:lang w:bidi="ar-SA"/>
        </w:rPr>
        <w:t xml:space="preserve">are no public health and safety concerns from the extension of use of steviol glycosides to </w:t>
      </w:r>
      <w:r w:rsidR="00FE2CD3">
        <w:rPr>
          <w:lang w:bidi="ar-SA"/>
        </w:rPr>
        <w:t>f</w:t>
      </w:r>
      <w:r w:rsidR="00446CF7">
        <w:rPr>
          <w:lang w:bidi="ar-SA"/>
        </w:rPr>
        <w:t>ruit</w:t>
      </w:r>
      <w:r w:rsidR="00FE2CD3">
        <w:rPr>
          <w:lang w:bidi="ar-SA"/>
        </w:rPr>
        <w:t xml:space="preserve"> d</w:t>
      </w:r>
      <w:r w:rsidR="00446CF7">
        <w:rPr>
          <w:lang w:bidi="ar-SA"/>
        </w:rPr>
        <w:t>rinks at the proposed levels.</w:t>
      </w:r>
    </w:p>
    <w:p w14:paraId="0FFC25A4" w14:textId="4DF5C60F" w:rsidR="004F69F6" w:rsidRDefault="00D3171B" w:rsidP="004646F8">
      <w:pPr>
        <w:pStyle w:val="Heading2"/>
      </w:pPr>
      <w:bookmarkStart w:id="75" w:name="_Toc175381442"/>
      <w:bookmarkStart w:id="76" w:name="_Toc286391010"/>
      <w:bookmarkStart w:id="77" w:name="_Toc300933426"/>
      <w:bookmarkStart w:id="78" w:name="_Toc524356794"/>
      <w:bookmarkStart w:id="79" w:name="_Toc526338059"/>
      <w:r>
        <w:t>2</w:t>
      </w:r>
      <w:r w:rsidR="0045556F">
        <w:t>.</w:t>
      </w:r>
      <w:r w:rsidR="000F2F47">
        <w:t>2</w:t>
      </w:r>
      <w:r w:rsidR="00271F00">
        <w:tab/>
      </w:r>
      <w:bookmarkEnd w:id="75"/>
      <w:bookmarkEnd w:id="76"/>
      <w:bookmarkEnd w:id="77"/>
      <w:r w:rsidR="0045556F">
        <w:t>R</w:t>
      </w:r>
      <w:r w:rsidR="00707E72">
        <w:t>isk m</w:t>
      </w:r>
      <w:r w:rsidR="008A35FB">
        <w:t>anagement</w:t>
      </w:r>
      <w:r w:rsidR="000F2F47">
        <w:t xml:space="preserve"> decision</w:t>
      </w:r>
      <w:bookmarkEnd w:id="78"/>
      <w:bookmarkEnd w:id="79"/>
    </w:p>
    <w:p w14:paraId="7D10C920" w14:textId="3BD85A66" w:rsidR="007C4DE6" w:rsidRDefault="007C4DE6" w:rsidP="00B07009">
      <w:r>
        <w:rPr>
          <w:lang w:bidi="ar-SA"/>
        </w:rPr>
        <w:t>Based on the food technology, hazard and dietary exposure assessment</w:t>
      </w:r>
      <w:r w:rsidR="00BE2F20">
        <w:rPr>
          <w:lang w:bidi="ar-SA"/>
        </w:rPr>
        <w:t>s</w:t>
      </w:r>
      <w:r>
        <w:rPr>
          <w:lang w:bidi="ar-SA"/>
        </w:rPr>
        <w:t xml:space="preserve">, there are no public health and safety concerns with using steviol glycosides as </w:t>
      </w:r>
      <w:r w:rsidR="009748B2">
        <w:rPr>
          <w:lang w:bidi="ar-SA"/>
        </w:rPr>
        <w:t xml:space="preserve">a </w:t>
      </w:r>
      <w:r>
        <w:rPr>
          <w:lang w:bidi="ar-SA"/>
        </w:rPr>
        <w:t xml:space="preserve">food additive in the manner proposed in the application and that its use as an intense sweetener in fruit drinks is technologically justified. </w:t>
      </w:r>
    </w:p>
    <w:p w14:paraId="5BF7597B" w14:textId="77777777" w:rsidR="007C4DE6" w:rsidRDefault="007C4DE6" w:rsidP="00B07009"/>
    <w:p w14:paraId="7358CAA4" w14:textId="47EB363B" w:rsidR="00EE579E" w:rsidRPr="00EE579E" w:rsidRDefault="007C4DE6" w:rsidP="00EE579E">
      <w:r>
        <w:rPr>
          <w:lang w:bidi="ar-SA"/>
        </w:rPr>
        <w:t xml:space="preserve">The risk management options available to FSANZ after assessment were to: reject the application; or prepare a draft variation to amend the Code to permit steviol glycosides as an intense sweetener in fruit drinks at a maximum permitted level of 200 mg/kg steviol equivalents. Based on the risk assessment, the decision was made to prepare a draft variation to the Code. </w:t>
      </w:r>
      <w:r w:rsidRPr="00EE579E">
        <w:t xml:space="preserve">Providing the permission for steviol glycosides as a food additive </w:t>
      </w:r>
      <w:r w:rsidR="00BE2F20">
        <w:t xml:space="preserve">in </w:t>
      </w:r>
      <w:r w:rsidR="00BE2F20" w:rsidRPr="00EE579E">
        <w:t>fruit drinks</w:t>
      </w:r>
      <w:r w:rsidRPr="00EE579E">
        <w:t xml:space="preserve"> require</w:t>
      </w:r>
      <w:r w:rsidR="00C25D82">
        <w:t>s</w:t>
      </w:r>
      <w:r w:rsidR="00C25D82" w:rsidRPr="00C25D82">
        <w:t xml:space="preserve"> </w:t>
      </w:r>
      <w:r w:rsidR="00372666">
        <w:t>an amendment to</w:t>
      </w:r>
      <w:r w:rsidR="00C25D82" w:rsidRPr="00C25D82">
        <w:t xml:space="preserve"> item 14.1.2.2.1 of the table to subsection S15—5</w:t>
      </w:r>
      <w:r w:rsidR="00C25D82">
        <w:t>.</w:t>
      </w:r>
      <w:bookmarkStart w:id="80" w:name="_Toc524356795"/>
      <w:bookmarkStart w:id="81" w:name="_Toc300761910"/>
    </w:p>
    <w:p w14:paraId="3573BB65" w14:textId="1D9EE235" w:rsidR="00C221DF" w:rsidRDefault="00C221DF" w:rsidP="00C221DF">
      <w:pPr>
        <w:pStyle w:val="Heading3"/>
      </w:pPr>
      <w:bookmarkStart w:id="82" w:name="_Toc526338060"/>
      <w:r>
        <w:lastRenderedPageBreak/>
        <w:t>2.</w:t>
      </w:r>
      <w:r w:rsidR="000F2F47">
        <w:t>2</w:t>
      </w:r>
      <w:r>
        <w:t>.1 Labelling requirements</w:t>
      </w:r>
      <w:bookmarkEnd w:id="80"/>
      <w:bookmarkEnd w:id="82"/>
    </w:p>
    <w:p w14:paraId="77929582" w14:textId="33BD286F" w:rsidR="00C44145" w:rsidRDefault="00764DEF" w:rsidP="00764DEF">
      <w:bookmarkStart w:id="83" w:name="_Toc300933435"/>
      <w:r>
        <w:t>Substances used as food additives are</w:t>
      </w:r>
      <w:r w:rsidRPr="00457B0C">
        <w:t xml:space="preserve"> required to be declared in the </w:t>
      </w:r>
      <w:r>
        <w:t>statement</w:t>
      </w:r>
      <w:r w:rsidRPr="00457B0C">
        <w:t xml:space="preserve"> of ingredients on the label of most packaged foods</w:t>
      </w:r>
      <w:r>
        <w:t>.</w:t>
      </w:r>
      <w:r w:rsidRPr="00457B0C">
        <w:t xml:space="preserve"> </w:t>
      </w:r>
      <w:r w:rsidR="00C44145">
        <w:t xml:space="preserve">These labelling requirements are outlined in </w:t>
      </w:r>
      <w:r w:rsidR="00AB0600">
        <w:t>section 1.3.2</w:t>
      </w:r>
      <w:r w:rsidR="00C44145">
        <w:t xml:space="preserve">. </w:t>
      </w:r>
    </w:p>
    <w:p w14:paraId="7D92D693" w14:textId="77777777" w:rsidR="00C44145" w:rsidRDefault="00C44145" w:rsidP="00764DEF"/>
    <w:p w14:paraId="5B04D1AA" w14:textId="0E7BD11D" w:rsidR="00764DEF" w:rsidRDefault="0005154A" w:rsidP="00764DEF">
      <w:r>
        <w:rPr>
          <w:lang w:eastAsia="en-AU" w:bidi="ar-SA"/>
        </w:rPr>
        <w:t>As s</w:t>
      </w:r>
      <w:r w:rsidRPr="00764DEF">
        <w:rPr>
          <w:lang w:eastAsia="en-AU" w:bidi="ar-SA"/>
        </w:rPr>
        <w:t>teviol glycosides are already perm</w:t>
      </w:r>
      <w:r>
        <w:rPr>
          <w:lang w:eastAsia="en-AU" w:bidi="ar-SA"/>
        </w:rPr>
        <w:t xml:space="preserve">itted for use as food additives, requirements for their declaration in the statement of ingredients on the label already exist in the Code, i.e. </w:t>
      </w:r>
      <w:r w:rsidR="00764DEF">
        <w:t>Schedule 8</w:t>
      </w:r>
      <w:r w:rsidR="00C44145">
        <w:t xml:space="preserve"> – Food additive names and code numbers (for statement of ingredients)</w:t>
      </w:r>
      <w:r w:rsidR="00764DEF">
        <w:t xml:space="preserve"> refers to ‘steviol glycosides’ with </w:t>
      </w:r>
      <w:r>
        <w:t>the</w:t>
      </w:r>
      <w:r w:rsidR="00B01745">
        <w:t xml:space="preserve"> </w:t>
      </w:r>
      <w:r w:rsidR="00B65D34">
        <w:t xml:space="preserve">INS </w:t>
      </w:r>
      <w:r w:rsidR="00764DEF">
        <w:t>number ‘960’</w:t>
      </w:r>
      <w:r w:rsidR="00764DEF" w:rsidRPr="00457B0C">
        <w:t>.</w:t>
      </w:r>
    </w:p>
    <w:p w14:paraId="05485E11" w14:textId="77777777" w:rsidR="00764DEF" w:rsidRDefault="00764DEF" w:rsidP="00764DEF"/>
    <w:p w14:paraId="263D935F" w14:textId="2634FAE8" w:rsidR="00764DEF" w:rsidRDefault="0005154A" w:rsidP="0005154A">
      <w:pPr>
        <w:rPr>
          <w:lang w:eastAsia="en-AU" w:bidi="ar-SA"/>
        </w:rPr>
      </w:pPr>
      <w:r>
        <w:rPr>
          <w:lang w:eastAsia="en-AU" w:bidi="ar-SA"/>
        </w:rPr>
        <w:t>As no public health and safety</w:t>
      </w:r>
      <w:r w:rsidRPr="0005154A">
        <w:rPr>
          <w:lang w:eastAsia="en-AU" w:bidi="ar-SA"/>
        </w:rPr>
        <w:t xml:space="preserve"> concerns from the extension of use of steviol glycosides to </w:t>
      </w:r>
      <w:r>
        <w:rPr>
          <w:lang w:eastAsia="en-AU" w:bidi="ar-SA"/>
        </w:rPr>
        <w:t>f</w:t>
      </w:r>
      <w:r w:rsidRPr="0005154A">
        <w:rPr>
          <w:lang w:eastAsia="en-AU" w:bidi="ar-SA"/>
        </w:rPr>
        <w:t>ruit</w:t>
      </w:r>
      <w:r>
        <w:rPr>
          <w:lang w:eastAsia="en-AU" w:bidi="ar-SA"/>
        </w:rPr>
        <w:t xml:space="preserve"> d</w:t>
      </w:r>
      <w:r w:rsidRPr="0005154A">
        <w:rPr>
          <w:lang w:eastAsia="en-AU" w:bidi="ar-SA"/>
        </w:rPr>
        <w:t>rinks at the proposed levels</w:t>
      </w:r>
      <w:r>
        <w:rPr>
          <w:lang w:eastAsia="en-AU" w:bidi="ar-SA"/>
        </w:rPr>
        <w:t xml:space="preserve"> have been identified, the existing labelling requirements in the Code are considered sufficient and no additional labelling requirements are proposed. </w:t>
      </w:r>
      <w:r w:rsidR="00764DEF">
        <w:rPr>
          <w:lang w:eastAsia="en-AU" w:bidi="ar-SA"/>
        </w:rPr>
        <w:t xml:space="preserve"> </w:t>
      </w:r>
    </w:p>
    <w:p w14:paraId="598A5DB0" w14:textId="77777777" w:rsidR="00F23CC8" w:rsidRPr="0005154A" w:rsidRDefault="00F23CC8" w:rsidP="0005154A">
      <w:pPr>
        <w:rPr>
          <w:lang w:eastAsia="en-AU" w:bidi="ar-SA"/>
        </w:rPr>
      </w:pPr>
    </w:p>
    <w:p w14:paraId="7C5A365B" w14:textId="3E559AB7" w:rsidR="00F23CC8" w:rsidRPr="006F6FE1" w:rsidRDefault="00E520FE" w:rsidP="006F6FE1">
      <w:pPr>
        <w:pStyle w:val="Heading2"/>
      </w:pPr>
      <w:bookmarkStart w:id="84" w:name="_Toc524356796"/>
      <w:bookmarkStart w:id="85" w:name="_Toc526338061"/>
      <w:r>
        <w:t>2.</w:t>
      </w:r>
      <w:r w:rsidR="000F2F47">
        <w:t>3</w:t>
      </w:r>
      <w:r>
        <w:tab/>
        <w:t>Risk communication</w:t>
      </w:r>
      <w:bookmarkEnd w:id="83"/>
      <w:bookmarkEnd w:id="84"/>
      <w:bookmarkEnd w:id="85"/>
      <w:r>
        <w:t xml:space="preserve"> </w:t>
      </w:r>
      <w:bookmarkStart w:id="86" w:name="_Toc300933437"/>
      <w:bookmarkStart w:id="87" w:name="_Toc286391012"/>
    </w:p>
    <w:p w14:paraId="1570EEE2" w14:textId="0274E3C6" w:rsidR="00E520FE" w:rsidRPr="00022DBC" w:rsidRDefault="00E520FE" w:rsidP="006F6FE1">
      <w:pPr>
        <w:pStyle w:val="Heading3"/>
      </w:pPr>
      <w:bookmarkStart w:id="88" w:name="_Toc526338062"/>
      <w:r w:rsidRPr="00022DBC">
        <w:t>2.</w:t>
      </w:r>
      <w:r w:rsidR="000F2F47">
        <w:t>3</w:t>
      </w:r>
      <w:r w:rsidRPr="00022DBC">
        <w:t>.1</w:t>
      </w:r>
      <w:r w:rsidRPr="00022DBC">
        <w:tab/>
        <w:t>Consultation</w:t>
      </w:r>
      <w:bookmarkEnd w:id="86"/>
      <w:bookmarkEnd w:id="88"/>
    </w:p>
    <w:p w14:paraId="28890482" w14:textId="7E0F734D" w:rsidR="0027513D" w:rsidRDefault="0027513D" w:rsidP="0027513D">
      <w:pPr>
        <w:rPr>
          <w:szCs w:val="22"/>
        </w:rPr>
      </w:pPr>
      <w:r w:rsidRPr="0027513D">
        <w:rPr>
          <w:szCs w:val="22"/>
        </w:rPr>
        <w:t xml:space="preserve">Consultation is a key part of FSANZ’s standards development process. </w:t>
      </w:r>
      <w:r w:rsidR="00F300B2">
        <w:rPr>
          <w:szCs w:val="22"/>
        </w:rPr>
        <w:t>FSANZ developed and applied a basic communication strategy to this application. All calls for submissions are notified via the Food Standards Notification Circular, media release, FSANZ’s social media tools and Food Standards news.</w:t>
      </w:r>
    </w:p>
    <w:p w14:paraId="31C740C4" w14:textId="7C8CDD85" w:rsidR="00F300B2" w:rsidRDefault="00F300B2" w:rsidP="0027513D">
      <w:pPr>
        <w:rPr>
          <w:szCs w:val="22"/>
        </w:rPr>
      </w:pPr>
    </w:p>
    <w:p w14:paraId="77C51909" w14:textId="77777777" w:rsidR="00A32148" w:rsidRDefault="00F300B2" w:rsidP="00A32148">
      <w:pPr>
        <w:rPr>
          <w:szCs w:val="22"/>
        </w:rPr>
      </w:pPr>
      <w:r>
        <w:rPr>
          <w:szCs w:val="22"/>
        </w:rPr>
        <w:t>The process by which FSANZ considers standards development matters is open, accountable, consultative and transparent. Public submissions are called to obtain the views of interested parties on issues raised by the application and the impacts of regulatory options.</w:t>
      </w:r>
      <w:r w:rsidR="00B65D34" w:rsidRPr="00B65D34">
        <w:t xml:space="preserve"> </w:t>
      </w:r>
      <w:r w:rsidR="00A32148" w:rsidRPr="00B65D34">
        <w:rPr>
          <w:szCs w:val="22"/>
        </w:rPr>
        <w:t>The draft variation will be considered for approval by the FSANZ Board taking into account public comments received from this call for submissions.</w:t>
      </w:r>
    </w:p>
    <w:p w14:paraId="4417F398" w14:textId="77777777" w:rsidR="00A32148" w:rsidRDefault="00A32148" w:rsidP="00A32148">
      <w:pPr>
        <w:rPr>
          <w:szCs w:val="22"/>
        </w:rPr>
      </w:pPr>
    </w:p>
    <w:p w14:paraId="46CD9112" w14:textId="739206B3" w:rsidR="00B65D34" w:rsidRPr="00B65D34" w:rsidRDefault="00B65D34" w:rsidP="00A32148">
      <w:pPr>
        <w:rPr>
          <w:szCs w:val="22"/>
        </w:rPr>
      </w:pPr>
      <w:r w:rsidRPr="00B65D34">
        <w:rPr>
          <w:szCs w:val="22"/>
        </w:rPr>
        <w:t>FSANZ acknowledges the time taken by individuals and organisations to make submissions on this application.</w:t>
      </w:r>
    </w:p>
    <w:p w14:paraId="0DAF289A" w14:textId="0DD15FDF" w:rsidR="00E520FE" w:rsidRPr="00022DBC" w:rsidRDefault="00022DBC" w:rsidP="00874453">
      <w:pPr>
        <w:pStyle w:val="Heading3"/>
        <w:ind w:left="0" w:firstLine="0"/>
      </w:pPr>
      <w:bookmarkStart w:id="89" w:name="_Toc300761912"/>
      <w:bookmarkStart w:id="90" w:name="_Toc300933439"/>
      <w:bookmarkStart w:id="91" w:name="_Toc524356797"/>
      <w:bookmarkStart w:id="92" w:name="_Toc526338063"/>
      <w:bookmarkEnd w:id="87"/>
      <w:r w:rsidRPr="00022DBC">
        <w:t>2.</w:t>
      </w:r>
      <w:r w:rsidR="000F2F47">
        <w:t>3</w:t>
      </w:r>
      <w:r w:rsidRPr="00022DBC">
        <w:t>.2</w:t>
      </w:r>
      <w:r w:rsidR="00E520FE" w:rsidRPr="00022DBC">
        <w:tab/>
        <w:t>World Trade Organization</w:t>
      </w:r>
      <w:bookmarkEnd w:id="89"/>
      <w:bookmarkEnd w:id="90"/>
      <w:bookmarkEnd w:id="91"/>
      <w:bookmarkEnd w:id="92"/>
    </w:p>
    <w:p w14:paraId="13B56108"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0A830119" w14:textId="77777777" w:rsidR="00401903" w:rsidRDefault="00401903" w:rsidP="00E520FE">
      <w:pPr>
        <w:tabs>
          <w:tab w:val="left" w:pos="1560"/>
        </w:tabs>
        <w:rPr>
          <w:color w:val="FF0000"/>
        </w:rPr>
      </w:pPr>
    </w:p>
    <w:p w14:paraId="1FD13728" w14:textId="1740CE31" w:rsidR="00E520FE" w:rsidRDefault="00E520FE" w:rsidP="00E520FE">
      <w:pPr>
        <w:tabs>
          <w:tab w:val="left" w:pos="1560"/>
        </w:tabs>
        <w:rPr>
          <w:rFonts w:cs="Arial"/>
        </w:rPr>
      </w:pPr>
      <w:r w:rsidRPr="00F300B2">
        <w:rPr>
          <w:rFonts w:cs="Arial"/>
        </w:rPr>
        <w:t>There are relevant international standards</w:t>
      </w:r>
      <w:r w:rsidR="00A32148">
        <w:rPr>
          <w:rFonts w:cs="Arial"/>
        </w:rPr>
        <w:t xml:space="preserve"> where</w:t>
      </w:r>
      <w:r w:rsidR="00A32148" w:rsidRPr="00A32148">
        <w:rPr>
          <w:rFonts w:cs="Arial"/>
        </w:rPr>
        <w:t xml:space="preserve"> </w:t>
      </w:r>
      <w:r w:rsidR="00A32148" w:rsidRPr="00F300B2">
        <w:rPr>
          <w:rFonts w:cs="Arial"/>
        </w:rPr>
        <w:t xml:space="preserve">steviol glycosides </w:t>
      </w:r>
      <w:r w:rsidR="00A32148">
        <w:rPr>
          <w:rFonts w:cs="Arial"/>
        </w:rPr>
        <w:t>are</w:t>
      </w:r>
      <w:r w:rsidR="00A32148" w:rsidRPr="00F300B2">
        <w:rPr>
          <w:rFonts w:cs="Arial"/>
        </w:rPr>
        <w:t xml:space="preserve"> already permitted in a range of foods, including fruit drinks</w:t>
      </w:r>
      <w:r w:rsidR="00A32148">
        <w:rPr>
          <w:rFonts w:cs="Arial"/>
        </w:rPr>
        <w:t>. A</w:t>
      </w:r>
      <w:r w:rsidRPr="00F300B2">
        <w:rPr>
          <w:rFonts w:cs="Arial"/>
        </w:rPr>
        <w:t xml:space="preserve">mending the Code to </w:t>
      </w:r>
      <w:r w:rsidR="00F300B2" w:rsidRPr="00F300B2">
        <w:rPr>
          <w:rFonts w:cs="Arial"/>
        </w:rPr>
        <w:t>permit steviol glycosides in fruit drinks</w:t>
      </w:r>
      <w:r w:rsidRPr="00F300B2">
        <w:rPr>
          <w:rFonts w:cs="Arial"/>
        </w:rPr>
        <w:t xml:space="preserve"> is unlikely to have a significant effect on international trade. </w:t>
      </w:r>
      <w:r w:rsidRPr="00F300B2">
        <w:rPr>
          <w:rFonts w:cs="Arial"/>
          <w:iCs/>
        </w:rPr>
        <w:t xml:space="preserve">Therefore, a notification under </w:t>
      </w:r>
      <w:r w:rsidRPr="00F300B2">
        <w:rPr>
          <w:rFonts w:cs="Arial"/>
        </w:rPr>
        <w:t>Australia and New Zealand’s</w:t>
      </w:r>
      <w:r w:rsidRPr="00F300B2">
        <w:rPr>
          <w:rFonts w:cs="Arial"/>
          <w:iCs/>
        </w:rPr>
        <w:t xml:space="preserve"> obligations under the WTO Technical Barriers to Trade or </w:t>
      </w:r>
      <w:r w:rsidR="00D04529" w:rsidRPr="00F300B2">
        <w:rPr>
          <w:rFonts w:cs="Arial"/>
          <w:iCs/>
        </w:rPr>
        <w:t xml:space="preserve">Application of </w:t>
      </w:r>
      <w:r w:rsidRPr="00F300B2">
        <w:rPr>
          <w:rFonts w:cs="Arial"/>
          <w:iCs/>
        </w:rPr>
        <w:t>Sanitary and Phytosanitary Measures Agreement was not considered necessary.</w:t>
      </w:r>
    </w:p>
    <w:p w14:paraId="314295FA" w14:textId="06239F24" w:rsidR="00E520FE" w:rsidRDefault="00022DBC" w:rsidP="00022DBC">
      <w:pPr>
        <w:pStyle w:val="Heading2"/>
      </w:pPr>
      <w:bookmarkStart w:id="93" w:name="_Toc524356798"/>
      <w:bookmarkStart w:id="94" w:name="_Toc526338064"/>
      <w:r>
        <w:t>2.</w:t>
      </w:r>
      <w:r w:rsidR="000F2F47">
        <w:t>4</w:t>
      </w:r>
      <w:r>
        <w:tab/>
        <w:t>FSANZ Act assessment requirements</w:t>
      </w:r>
      <w:bookmarkEnd w:id="93"/>
      <w:bookmarkEnd w:id="94"/>
    </w:p>
    <w:p w14:paraId="62806A3D" w14:textId="53F8623B" w:rsidR="00726C2F" w:rsidRPr="00513585" w:rsidRDefault="00726C2F" w:rsidP="00726C2F">
      <w:r w:rsidRPr="00513585">
        <w:t xml:space="preserve">When assessing this </w:t>
      </w:r>
      <w:r w:rsidR="00513585" w:rsidRPr="00513585">
        <w:t xml:space="preserve">application </w:t>
      </w:r>
      <w:r w:rsidRPr="00513585">
        <w:t xml:space="preserve">and the subsequent development of a food regulatory measure, FSANZ has had regard to the </w:t>
      </w:r>
      <w:r w:rsidRPr="00513585" w:rsidDel="00932F14">
        <w:t xml:space="preserve">following </w:t>
      </w:r>
      <w:r w:rsidRPr="00513585">
        <w:t>matters in section 29 of the FSANZ Act</w:t>
      </w:r>
      <w:r w:rsidR="00BF0B54">
        <w:t>.</w:t>
      </w:r>
    </w:p>
    <w:p w14:paraId="73789EDE" w14:textId="79201AE8" w:rsidR="00726C2F" w:rsidRPr="00914030" w:rsidRDefault="00726C2F" w:rsidP="00726C2F">
      <w:pPr>
        <w:pStyle w:val="Heading3"/>
      </w:pPr>
      <w:bookmarkStart w:id="95" w:name="_Toc524356799"/>
      <w:bookmarkStart w:id="96" w:name="_Toc526338065"/>
      <w:r>
        <w:lastRenderedPageBreak/>
        <w:t>2.</w:t>
      </w:r>
      <w:r w:rsidR="000F2F47">
        <w:t>4</w:t>
      </w:r>
      <w:r>
        <w:t>.1</w:t>
      </w:r>
      <w:r>
        <w:tab/>
        <w:t xml:space="preserve">Section </w:t>
      </w:r>
      <w:r w:rsidRPr="00513585">
        <w:rPr>
          <w:color w:val="auto"/>
        </w:rPr>
        <w:t>29</w:t>
      </w:r>
      <w:bookmarkEnd w:id="95"/>
      <w:bookmarkEnd w:id="96"/>
    </w:p>
    <w:p w14:paraId="6F4377F9" w14:textId="60B27C82" w:rsidR="00726C2F" w:rsidRDefault="00195254" w:rsidP="00DE76CC">
      <w:pPr>
        <w:pStyle w:val="Heading4"/>
      </w:pPr>
      <w:r>
        <w:t>2.</w:t>
      </w:r>
      <w:r w:rsidR="000F2F47">
        <w:t>4</w:t>
      </w:r>
      <w:r>
        <w:t>.1.1</w:t>
      </w:r>
      <w:r>
        <w:tab/>
        <w:t>Co</w:t>
      </w:r>
      <w:r>
        <w:rPr>
          <w:lang w:val="en-AU"/>
        </w:rPr>
        <w:t>nsideration of costs and benefits</w:t>
      </w:r>
    </w:p>
    <w:p w14:paraId="68302CD3" w14:textId="17329514" w:rsidR="00513585" w:rsidRDefault="00513585" w:rsidP="00513585">
      <w:pPr>
        <w:rPr>
          <w:color w:val="F01482"/>
        </w:rPr>
      </w:pPr>
      <w:r w:rsidRPr="00140661">
        <w:t xml:space="preserve">The Office of Best Practice Regulation (OBPR) granted FSANZ a standing exemption from the requirement to develop a Regulatory Impact Statement for </w:t>
      </w:r>
      <w:r>
        <w:t xml:space="preserve">permitting food additives </w:t>
      </w:r>
      <w:r w:rsidRPr="00140661">
        <w:t>(</w:t>
      </w:r>
      <w:r w:rsidRPr="006400D0">
        <w:t>OBPR correspondence dated 24 November 2010, reference number 12065</w:t>
      </w:r>
      <w:r w:rsidRPr="00140661">
        <w:t xml:space="preserve">). </w:t>
      </w:r>
      <w:r w:rsidRPr="006400D0">
        <w:t xml:space="preserve">This standing exemption was provided as permitting </w:t>
      </w:r>
      <w:r>
        <w:t>food additives</w:t>
      </w:r>
      <w:r w:rsidRPr="006400D0">
        <w:t xml:space="preserve"> is machinery in nature and the use of the </w:t>
      </w:r>
      <w:r w:rsidR="00F54161">
        <w:t>food additive</w:t>
      </w:r>
      <w:r w:rsidRPr="006400D0">
        <w:t xml:space="preserve"> is voluntary once the application has been approved. This standing exemption relates to the </w:t>
      </w:r>
      <w:r w:rsidR="00F54161">
        <w:t>use of a food additive already permitted in other foods</w:t>
      </w:r>
      <w:r w:rsidRPr="006400D0">
        <w:t xml:space="preserve"> that has been determined to be safe.</w:t>
      </w:r>
    </w:p>
    <w:p w14:paraId="32E0655C" w14:textId="77777777" w:rsidR="00277FE8" w:rsidRDefault="00277FE8" w:rsidP="00513585">
      <w:pPr>
        <w:rPr>
          <w:rFonts w:cs="Arial"/>
        </w:rPr>
      </w:pPr>
    </w:p>
    <w:p w14:paraId="1B348D4C" w14:textId="6F51DEE2" w:rsidR="00513585" w:rsidRDefault="00513585" w:rsidP="00513585">
      <w:pPr>
        <w:rPr>
          <w:rFonts w:cs="Arial"/>
        </w:rPr>
      </w:pPr>
      <w:r w:rsidRPr="00A55542">
        <w:rPr>
          <w:rFonts w:cs="Arial"/>
        </w:rPr>
        <w:t xml:space="preserve">FSANZ, however, has given consideration to the costs and benefits that may arise from the proposed measure for the purposes of meeting FSANZ Act considerations. </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measure </w:t>
      </w:r>
      <w:r w:rsidRPr="006400D0">
        <w:rPr>
          <w:rFonts w:cs="Arial"/>
        </w:rPr>
        <w:t>(S.29 (2)(a)).</w:t>
      </w:r>
      <w:r>
        <w:rPr>
          <w:rFonts w:cs="Arial"/>
        </w:rPr>
        <w:t xml:space="preserve"> </w:t>
      </w:r>
    </w:p>
    <w:p w14:paraId="0E5BAE3F" w14:textId="77777777" w:rsidR="00277FE8" w:rsidRDefault="00277FE8" w:rsidP="00513585"/>
    <w:p w14:paraId="4A1D4CA3" w14:textId="1D0DBFAF" w:rsidR="00513585" w:rsidRDefault="00513585" w:rsidP="00513585">
      <w:r>
        <w:t xml:space="preserve">The purpose of this consideration is to determine if the community, government, and industry as a whole is likely to benefit, on balance, from a move from the status quo </w:t>
      </w:r>
      <w:r w:rsidRPr="0038012D">
        <w:t xml:space="preserve">(i.e. rejecting the application). </w:t>
      </w:r>
      <w:r>
        <w:t>This analysis considers t</w:t>
      </w:r>
      <w:r w:rsidRPr="006400D0">
        <w:t xml:space="preserve">he addition of steviol glycosides in </w:t>
      </w:r>
      <w:r w:rsidR="00F54161">
        <w:t>f</w:t>
      </w:r>
      <w:r w:rsidRPr="006400D0">
        <w:t xml:space="preserve">ruit </w:t>
      </w:r>
      <w:r w:rsidR="00F54161">
        <w:t>d</w:t>
      </w:r>
      <w:r w:rsidRPr="006400D0">
        <w:t xml:space="preserve">rinks at a </w:t>
      </w:r>
      <w:r w:rsidR="00F54161">
        <w:t xml:space="preserve">maximum permitted </w:t>
      </w:r>
      <w:r w:rsidRPr="006400D0">
        <w:t>level of 200 mg/kg steviol equivalents</w:t>
      </w:r>
      <w:r>
        <w:t>. FSANZ is of the view that no other realistic food regulatory measures exist, however information received may result in FSANZ arriving at a different outcome.</w:t>
      </w:r>
    </w:p>
    <w:p w14:paraId="337F56A5" w14:textId="77777777" w:rsidR="00277FE8" w:rsidRDefault="00277FE8" w:rsidP="00513585"/>
    <w:p w14:paraId="6111F39C" w14:textId="79280288" w:rsidR="00513585" w:rsidRDefault="00513585" w:rsidP="00513585">
      <w:r w:rsidRPr="00824CF4">
        <w:t>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w:t>
      </w:r>
      <w:r>
        <w:t xml:space="preserve"> permitting t</w:t>
      </w:r>
      <w:r w:rsidRPr="006400D0">
        <w:t xml:space="preserve">he addition of steviol glycosides in </w:t>
      </w:r>
      <w:r w:rsidR="00F54161">
        <w:t>f</w:t>
      </w:r>
      <w:r w:rsidRPr="006400D0">
        <w:t xml:space="preserve">ruit </w:t>
      </w:r>
      <w:r w:rsidR="00F54161">
        <w:t>d</w:t>
      </w:r>
      <w:r w:rsidRPr="006400D0">
        <w:t>rinks at a level of 200 mg/kg steviol equivalents</w:t>
      </w:r>
      <w:r w:rsidRPr="00824CF4">
        <w:t>.</w:t>
      </w:r>
    </w:p>
    <w:p w14:paraId="08BBA52E" w14:textId="62B40037" w:rsidR="00513585" w:rsidRDefault="00513585" w:rsidP="00513585">
      <w:pPr>
        <w:pStyle w:val="Heading5"/>
        <w:ind w:left="0" w:firstLine="0"/>
        <w:rPr>
          <w:color w:val="F01482"/>
        </w:rPr>
      </w:pPr>
      <w:r>
        <w:t xml:space="preserve">Costs and benefits </w:t>
      </w:r>
      <w:r w:rsidR="00150432">
        <w:t xml:space="preserve">for </w:t>
      </w:r>
      <w:r>
        <w:t>t</w:t>
      </w:r>
      <w:r w:rsidRPr="006400D0">
        <w:t xml:space="preserve">he addition of steviol glycosides in </w:t>
      </w:r>
      <w:r w:rsidR="00F54161">
        <w:t>f</w:t>
      </w:r>
      <w:r w:rsidRPr="006400D0">
        <w:t xml:space="preserve">ruit </w:t>
      </w:r>
      <w:r w:rsidR="00F54161">
        <w:t>d</w:t>
      </w:r>
      <w:r w:rsidRPr="006400D0">
        <w:t xml:space="preserve">rinks at a </w:t>
      </w:r>
      <w:r w:rsidR="00150432">
        <w:t xml:space="preserve">maximum permitted </w:t>
      </w:r>
      <w:r w:rsidRPr="006400D0">
        <w:t>level of 200 mg/kg steviol equivalents</w:t>
      </w:r>
    </w:p>
    <w:p w14:paraId="5A54D7AF" w14:textId="760A191C" w:rsidR="00513585" w:rsidRDefault="00513585" w:rsidP="00513585">
      <w:r>
        <w:t xml:space="preserve">Steviol glycosides are currently permitted in the Code for a range of beverages such as </w:t>
      </w:r>
      <w:r w:rsidR="00B760D0">
        <w:t>l</w:t>
      </w:r>
      <w:r>
        <w:t xml:space="preserve">ow </w:t>
      </w:r>
      <w:r w:rsidR="00B760D0">
        <w:t>j</w:t>
      </w:r>
      <w:r>
        <w:t xml:space="preserve">oule </w:t>
      </w:r>
      <w:r w:rsidR="00B760D0">
        <w:t>f</w:t>
      </w:r>
      <w:r>
        <w:t xml:space="preserve">ruit and </w:t>
      </w:r>
      <w:r w:rsidR="00B760D0">
        <w:t>v</w:t>
      </w:r>
      <w:r>
        <w:t xml:space="preserve">egetable </w:t>
      </w:r>
      <w:r w:rsidR="00B760D0">
        <w:t>j</w:t>
      </w:r>
      <w:r>
        <w:t xml:space="preserve">uice </w:t>
      </w:r>
      <w:r w:rsidR="00B760D0">
        <w:t>p</w:t>
      </w:r>
      <w:r>
        <w:t>roducts</w:t>
      </w:r>
      <w:r w:rsidR="008E2628">
        <w:t xml:space="preserve"> </w:t>
      </w:r>
      <w:r>
        <w:t xml:space="preserve">and </w:t>
      </w:r>
      <w:r w:rsidR="00B760D0">
        <w:t>w</w:t>
      </w:r>
      <w:r>
        <w:t>ater</w:t>
      </w:r>
      <w:r w:rsidR="000C327E">
        <w:t>-</w:t>
      </w:r>
      <w:r w:rsidR="00B760D0">
        <w:t>b</w:t>
      </w:r>
      <w:r>
        <w:t xml:space="preserve">ased </w:t>
      </w:r>
      <w:r w:rsidR="00B760D0">
        <w:t>f</w:t>
      </w:r>
      <w:r>
        <w:t xml:space="preserve">lavoured </w:t>
      </w:r>
      <w:r w:rsidR="00B760D0">
        <w:t>d</w:t>
      </w:r>
      <w:r>
        <w:t xml:space="preserve">rinks. </w:t>
      </w:r>
      <w:r w:rsidR="0005497B">
        <w:t xml:space="preserve">Approving </w:t>
      </w:r>
      <w:r>
        <w:t>th</w:t>
      </w:r>
      <w:r w:rsidR="000C327E">
        <w:t>e</w:t>
      </w:r>
      <w:r>
        <w:t xml:space="preserve"> application will allow </w:t>
      </w:r>
      <w:r w:rsidR="00D56BA3" w:rsidRPr="00763F5B">
        <w:t xml:space="preserve">food </w:t>
      </w:r>
      <w:r w:rsidRPr="00763F5B">
        <w:t>manufacturers</w:t>
      </w:r>
      <w:r>
        <w:t xml:space="preserve"> to </w:t>
      </w:r>
      <w:r w:rsidR="00B760D0">
        <w:t xml:space="preserve">develop </w:t>
      </w:r>
      <w:r>
        <w:t xml:space="preserve">fruit </w:t>
      </w:r>
      <w:r w:rsidR="00D458AC">
        <w:t>drinks</w:t>
      </w:r>
      <w:r>
        <w:t xml:space="preserve"> with reduced </w:t>
      </w:r>
      <w:r w:rsidR="00C24B09">
        <w:t>sugar, provide</w:t>
      </w:r>
      <w:r>
        <w:t xml:space="preserve"> a wider range of products </w:t>
      </w:r>
      <w:r w:rsidR="00600A40">
        <w:t>and</w:t>
      </w:r>
      <w:r>
        <w:t xml:space="preserve"> may encourage innovation in the sector. </w:t>
      </w:r>
      <w:r w:rsidRPr="00B7664B">
        <w:t xml:space="preserve">Due to the voluntary nature of the permission, industry will only use </w:t>
      </w:r>
      <w:r w:rsidR="00600A40">
        <w:t>s</w:t>
      </w:r>
      <w:r w:rsidR="00600A40" w:rsidRPr="00600A40">
        <w:t xml:space="preserve">teviol glycosides </w:t>
      </w:r>
      <w:r w:rsidR="00600A40">
        <w:t xml:space="preserve">in fruit </w:t>
      </w:r>
      <w:r w:rsidR="00D56BA3">
        <w:t>drinks where</w:t>
      </w:r>
      <w:r w:rsidRPr="00B7664B">
        <w:t xml:space="preserve"> they believe a net benefit exists.</w:t>
      </w:r>
    </w:p>
    <w:p w14:paraId="13784AA9" w14:textId="77777777" w:rsidR="00233395" w:rsidRDefault="00233395" w:rsidP="00513585"/>
    <w:p w14:paraId="03E33BAE" w14:textId="6CF0E8F9" w:rsidR="00513585" w:rsidRDefault="00513585" w:rsidP="00513585">
      <w:r>
        <w:t xml:space="preserve">Consumers wishing to consume </w:t>
      </w:r>
      <w:r w:rsidR="00BE5363">
        <w:t xml:space="preserve">fruit drinks with </w:t>
      </w:r>
      <w:r>
        <w:t>reduced sugar will have more options available to them</w:t>
      </w:r>
      <w:r w:rsidR="00600A40">
        <w:t>, as the</w:t>
      </w:r>
      <w:r w:rsidR="00BE5363">
        <w:t xml:space="preserve"> use of steviol glycoside</w:t>
      </w:r>
      <w:r w:rsidR="00600A40">
        <w:t>s</w:t>
      </w:r>
      <w:r>
        <w:t xml:space="preserve"> typically allow</w:t>
      </w:r>
      <w:r w:rsidR="00BE5363">
        <w:t>s</w:t>
      </w:r>
      <w:r>
        <w:t xml:space="preserve"> a 30</w:t>
      </w:r>
      <w:r w:rsidR="000C327E">
        <w:rPr>
          <w:rFonts w:cs="Arial"/>
        </w:rPr>
        <w:t>‒</w:t>
      </w:r>
      <w:r>
        <w:t xml:space="preserve">50% reduction in sugar to standard </w:t>
      </w:r>
      <w:r w:rsidR="00741176">
        <w:t>f</w:t>
      </w:r>
      <w:r>
        <w:t xml:space="preserve">ruit </w:t>
      </w:r>
      <w:r w:rsidR="00741176">
        <w:t>d</w:t>
      </w:r>
      <w:r>
        <w:t>rinks.</w:t>
      </w:r>
    </w:p>
    <w:p w14:paraId="4B1685DC" w14:textId="43905542" w:rsidR="00233395" w:rsidRDefault="00233395" w:rsidP="00513585"/>
    <w:p w14:paraId="0E3D76C0" w14:textId="034A2A05" w:rsidR="00513585" w:rsidRPr="00A926F0" w:rsidRDefault="00513585" w:rsidP="00513585">
      <w:r w:rsidRPr="00A926F0">
        <w:t xml:space="preserve">Overseas markets currently permit steviol glycosides in </w:t>
      </w:r>
      <w:r w:rsidR="00B07009">
        <w:t xml:space="preserve">a range of foods, including </w:t>
      </w:r>
      <w:r w:rsidRPr="00A926F0">
        <w:t xml:space="preserve">fruit drinks which may </w:t>
      </w:r>
      <w:r w:rsidR="00253D88">
        <w:t>present</w:t>
      </w:r>
      <w:r w:rsidR="00253D88" w:rsidRPr="00A926F0">
        <w:t xml:space="preserve"> </w:t>
      </w:r>
      <w:r w:rsidRPr="00A926F0">
        <w:t xml:space="preserve">a business opportunity for Australia New Zealand </w:t>
      </w:r>
      <w:r w:rsidR="00600A40">
        <w:t>food manufacturers</w:t>
      </w:r>
      <w:r w:rsidRPr="00A926F0">
        <w:t xml:space="preserve">, although there may also be competing imports from these countries into the domestic market. </w:t>
      </w:r>
    </w:p>
    <w:p w14:paraId="50C40B66" w14:textId="77777777" w:rsidR="00053A9D" w:rsidRDefault="00053A9D" w:rsidP="00513585"/>
    <w:p w14:paraId="6701678F" w14:textId="71268493" w:rsidR="00513585" w:rsidRPr="00A926F0" w:rsidRDefault="00513585" w:rsidP="00513585">
      <w:r w:rsidRPr="00A926F0">
        <w:t xml:space="preserve">Permitting </w:t>
      </w:r>
      <w:r w:rsidR="00600A40">
        <w:t>s</w:t>
      </w:r>
      <w:r w:rsidR="00600A40" w:rsidRPr="00600A40">
        <w:t xml:space="preserve">teviol glycosides </w:t>
      </w:r>
      <w:r w:rsidR="00600A40">
        <w:t xml:space="preserve">in fruit </w:t>
      </w:r>
      <w:r w:rsidR="00E33B2F">
        <w:t>drinks may</w:t>
      </w:r>
      <w:r w:rsidRPr="00A926F0">
        <w:t xml:space="preserve"> result in a small cost to government in terms of adding it to </w:t>
      </w:r>
      <w:r w:rsidRPr="00A926F0">
        <w:lastRenderedPageBreak/>
        <w:t>the current range of additives that are monitored for compliance.</w:t>
      </w:r>
    </w:p>
    <w:p w14:paraId="3BEEC18D" w14:textId="77777777" w:rsidR="00513585" w:rsidRDefault="00513585" w:rsidP="00513585">
      <w:pPr>
        <w:pStyle w:val="Heading5"/>
      </w:pPr>
      <w:r w:rsidRPr="00FC4551">
        <w:t>Conclusions</w:t>
      </w:r>
      <w:r>
        <w:t xml:space="preserve"> from cost benefit considerations</w:t>
      </w:r>
    </w:p>
    <w:p w14:paraId="00EBEC5E" w14:textId="77777777" w:rsidR="0034640A" w:rsidRDefault="00513585" w:rsidP="0034640A">
      <w:r w:rsidRPr="00E929E9">
        <w:t xml:space="preserve">FSANZ’s assessment is that the direct and indirect benefits that would arise from </w:t>
      </w:r>
      <w:r>
        <w:t xml:space="preserve">permitting steviol glycosides in </w:t>
      </w:r>
      <w:r w:rsidR="00053A9D">
        <w:t>f</w:t>
      </w:r>
      <w:r>
        <w:t xml:space="preserve">ruit </w:t>
      </w:r>
      <w:r w:rsidR="00053A9D">
        <w:t>d</w:t>
      </w:r>
      <w:r>
        <w:t xml:space="preserve">rinks </w:t>
      </w:r>
      <w:r w:rsidRPr="00E929E9">
        <w:t>most likely outweigh the</w:t>
      </w:r>
      <w:r>
        <w:t xml:space="preserve"> associated</w:t>
      </w:r>
      <w:r w:rsidRPr="00E929E9">
        <w:t xml:space="preserve"> costs.</w:t>
      </w:r>
    </w:p>
    <w:p w14:paraId="391F5DBD" w14:textId="0EDE4AE5" w:rsidR="00726C2F" w:rsidRDefault="00726C2F" w:rsidP="00726C2F">
      <w:pPr>
        <w:pStyle w:val="Heading4"/>
      </w:pPr>
      <w:r>
        <w:t>2.</w:t>
      </w:r>
      <w:r w:rsidR="000F2F47">
        <w:t>4</w:t>
      </w:r>
      <w:r>
        <w:t>.1.2</w:t>
      </w:r>
      <w:r>
        <w:tab/>
        <w:t>Other measures</w:t>
      </w:r>
    </w:p>
    <w:p w14:paraId="035BE8EA" w14:textId="3BFE6546" w:rsidR="00726C2F" w:rsidRPr="00B760D0" w:rsidRDefault="00726C2F" w:rsidP="00726C2F">
      <w:r>
        <w:t>There are no</w:t>
      </w:r>
      <w:r w:rsidRPr="007F7BF7">
        <w:t xml:space="preserve"> other measures </w:t>
      </w:r>
      <w:r>
        <w:t xml:space="preserve">(whether available to FSANZ or not) that </w:t>
      </w:r>
      <w:r w:rsidRPr="007F7BF7">
        <w:t>would</w:t>
      </w:r>
      <w:r>
        <w:t xml:space="preserve"> be more </w:t>
      </w:r>
      <w:r w:rsidR="003F6108">
        <w:br/>
      </w:r>
      <w:r>
        <w:t xml:space="preserve">cost-effective than a food regulatory measure developed or varied as a result of the </w:t>
      </w:r>
      <w:r w:rsidR="00B760D0" w:rsidRPr="00B760D0">
        <w:t>application</w:t>
      </w:r>
      <w:r w:rsidRPr="00B760D0">
        <w:t>.</w:t>
      </w:r>
    </w:p>
    <w:p w14:paraId="780316E5" w14:textId="29B224F0" w:rsidR="00726C2F" w:rsidRDefault="008B0075" w:rsidP="008B0075">
      <w:pPr>
        <w:pStyle w:val="Heading4"/>
      </w:pPr>
      <w:r>
        <w:t>2.</w:t>
      </w:r>
      <w:r w:rsidR="000F2F47">
        <w:t>4</w:t>
      </w:r>
      <w:r>
        <w:t>.1.3</w:t>
      </w:r>
      <w:r>
        <w:tab/>
        <w:t>A</w:t>
      </w:r>
      <w:r w:rsidR="00726C2F" w:rsidRPr="00914030">
        <w:t>ny relevant New Zealand standards</w:t>
      </w:r>
    </w:p>
    <w:p w14:paraId="299250BE" w14:textId="417230A1" w:rsidR="008B0075" w:rsidRDefault="00506091" w:rsidP="008B0075">
      <w:pPr>
        <w:rPr>
          <w:lang w:bidi="ar-SA"/>
        </w:rPr>
      </w:pPr>
      <w:r>
        <w:rPr>
          <w:lang w:bidi="ar-SA"/>
        </w:rPr>
        <w:t>The draft variation applies in Australia and New Zealand. There is no relevant New Zealand only standard.</w:t>
      </w:r>
    </w:p>
    <w:p w14:paraId="6D30651C" w14:textId="32139FF5" w:rsidR="00726C2F" w:rsidRPr="00914030" w:rsidRDefault="00BE3818" w:rsidP="00BE3818">
      <w:pPr>
        <w:pStyle w:val="Heading4"/>
      </w:pPr>
      <w:r>
        <w:t>2.</w:t>
      </w:r>
      <w:r w:rsidR="000F2F47">
        <w:t>4</w:t>
      </w:r>
      <w:r>
        <w:t>.1.4</w:t>
      </w:r>
      <w:r>
        <w:tab/>
      </w:r>
      <w:r w:rsidR="0027513D">
        <w:t>A</w:t>
      </w:r>
      <w:r>
        <w:t>ny other relevant matters</w:t>
      </w:r>
    </w:p>
    <w:p w14:paraId="00743814" w14:textId="4EDEB882" w:rsidR="00BE3818" w:rsidRDefault="008B5567" w:rsidP="00BE3818">
      <w:pPr>
        <w:rPr>
          <w:lang w:bidi="ar-SA"/>
        </w:rPr>
      </w:pPr>
      <w:r>
        <w:t>Other relevant matters are considered below</w:t>
      </w:r>
      <w:r w:rsidR="00BE3818">
        <w:rPr>
          <w:lang w:bidi="ar-SA"/>
        </w:rPr>
        <w:t>.</w:t>
      </w:r>
      <w:r>
        <w:t xml:space="preserve"> </w:t>
      </w:r>
    </w:p>
    <w:p w14:paraId="05980D11" w14:textId="7C80A564" w:rsidR="00022DBC" w:rsidRPr="00914030" w:rsidRDefault="00BE3818" w:rsidP="00022DBC">
      <w:pPr>
        <w:pStyle w:val="Heading3"/>
      </w:pPr>
      <w:bookmarkStart w:id="97" w:name="_Toc524356800"/>
      <w:bookmarkStart w:id="98" w:name="_Toc526338066"/>
      <w:bookmarkStart w:id="99" w:name="_Toc300761897"/>
      <w:bookmarkStart w:id="100" w:name="_Toc300933440"/>
      <w:r>
        <w:t>2.</w:t>
      </w:r>
      <w:r w:rsidR="000F2F47">
        <w:t>4</w:t>
      </w:r>
      <w:r>
        <w:t>.2</w:t>
      </w:r>
      <w:r w:rsidR="00022DBC" w:rsidRPr="00914030">
        <w:t>.</w:t>
      </w:r>
      <w:r w:rsidR="00022DBC" w:rsidRPr="00914030">
        <w:tab/>
      </w:r>
      <w:r>
        <w:t>Subsection 18(1)</w:t>
      </w:r>
      <w:bookmarkEnd w:id="97"/>
      <w:bookmarkEnd w:id="98"/>
      <w:r>
        <w:t xml:space="preserve"> </w:t>
      </w:r>
      <w:bookmarkEnd w:id="99"/>
      <w:bookmarkEnd w:id="100"/>
    </w:p>
    <w:p w14:paraId="353A08B0"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0E6C202A" w14:textId="0AC6E075" w:rsidR="00022DBC" w:rsidRPr="00914030" w:rsidRDefault="00BE3818" w:rsidP="00022DBC">
      <w:pPr>
        <w:pStyle w:val="Heading4"/>
        <w:rPr>
          <w:lang w:eastAsia="en-AU"/>
        </w:rPr>
      </w:pPr>
      <w:bookmarkStart w:id="101" w:name="_Toc297029117"/>
      <w:bookmarkStart w:id="102" w:name="_Toc300761898"/>
      <w:bookmarkStart w:id="103" w:name="_Toc300933441"/>
      <w:r>
        <w:rPr>
          <w:lang w:eastAsia="en-AU"/>
        </w:rPr>
        <w:t>2.</w:t>
      </w:r>
      <w:r w:rsidR="000F2F47">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101"/>
      <w:bookmarkEnd w:id="102"/>
      <w:bookmarkEnd w:id="103"/>
    </w:p>
    <w:p w14:paraId="651AA5BD" w14:textId="04FEAECE" w:rsidR="00022DBC" w:rsidRDefault="00506091" w:rsidP="00022DBC">
      <w:r w:rsidRPr="00DE79AE">
        <w:t xml:space="preserve">FSANZ has completed a hazard and dietary exposure assessment (refer to SD1) </w:t>
      </w:r>
      <w:r w:rsidR="00233395" w:rsidRPr="00DE79AE">
        <w:t>which is summarised in section</w:t>
      </w:r>
      <w:r w:rsidR="00DE79AE">
        <w:t xml:space="preserve"> 2.1.2. The safety assessment concluded there are no public health and safety concerns in permitting steviol glycosides as a food additive </w:t>
      </w:r>
      <w:r w:rsidR="00253D88">
        <w:t>(</w:t>
      </w:r>
      <w:r w:rsidR="00DE79AE">
        <w:t>intense sweetener</w:t>
      </w:r>
      <w:r w:rsidR="00253D88">
        <w:t>)</w:t>
      </w:r>
      <w:r w:rsidR="00DE79AE">
        <w:t xml:space="preserve"> in fruit drinks at a maximum permitted level of 200 mg/</w:t>
      </w:r>
      <w:r w:rsidR="004E13B5">
        <w:t>kg</w:t>
      </w:r>
      <w:r w:rsidR="00352C1A">
        <w:t>, expressed as steviol</w:t>
      </w:r>
      <w:r w:rsidR="00CB2A70">
        <w:t xml:space="preserve"> equivalents</w:t>
      </w:r>
      <w:r w:rsidR="00DE79AE">
        <w:t xml:space="preserve">. </w:t>
      </w:r>
    </w:p>
    <w:p w14:paraId="506A5AC5" w14:textId="1963259F" w:rsidR="00253D88" w:rsidRDefault="00253D88" w:rsidP="00022DBC"/>
    <w:p w14:paraId="0BA6FE4F" w14:textId="056A270B" w:rsidR="00253D88" w:rsidRDefault="00253D88" w:rsidP="00022DBC"/>
    <w:p w14:paraId="546879E8" w14:textId="77777777" w:rsidR="00253D88" w:rsidRPr="00DE79AE" w:rsidRDefault="00253D88" w:rsidP="00022DBC"/>
    <w:p w14:paraId="4A5527E0" w14:textId="7729CCD4" w:rsidR="00022DBC" w:rsidRPr="00914030" w:rsidRDefault="00BE3818" w:rsidP="00022DBC">
      <w:pPr>
        <w:pStyle w:val="Heading4"/>
        <w:rPr>
          <w:lang w:eastAsia="en-AU"/>
        </w:rPr>
      </w:pPr>
      <w:bookmarkStart w:id="104" w:name="_Toc300761899"/>
      <w:bookmarkStart w:id="105" w:name="_Toc300933442"/>
      <w:r>
        <w:rPr>
          <w:lang w:eastAsia="en-AU"/>
        </w:rPr>
        <w:t>2.</w:t>
      </w:r>
      <w:r w:rsidR="000F2F47">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104"/>
      <w:bookmarkEnd w:id="105"/>
    </w:p>
    <w:p w14:paraId="7C20258E" w14:textId="61B8DF97" w:rsidR="00763F5B" w:rsidRPr="00763F5B" w:rsidRDefault="00C221DF" w:rsidP="00763F5B">
      <w:pPr>
        <w:rPr>
          <w:lang w:bidi="ar-SA"/>
        </w:rPr>
      </w:pPr>
      <w:r w:rsidRPr="00763F5B">
        <w:t>As discussed in section 2.2.1, the existing labelling provisions for food additives will apply.</w:t>
      </w:r>
      <w:r w:rsidRPr="00763F5B" w:rsidDel="00C221DF">
        <w:t xml:space="preserve"> </w:t>
      </w:r>
      <w:r w:rsidR="00D458AC" w:rsidRPr="00763F5B">
        <w:t xml:space="preserve">These will require provision of information to consumers to enable informed choices about foods containing steviol glycosides. </w:t>
      </w:r>
    </w:p>
    <w:p w14:paraId="3507104C" w14:textId="029DDCC9" w:rsidR="00022DBC" w:rsidRPr="00914030" w:rsidRDefault="00BE3818" w:rsidP="00022DBC">
      <w:pPr>
        <w:pStyle w:val="Heading4"/>
        <w:rPr>
          <w:lang w:eastAsia="en-AU"/>
        </w:rPr>
      </w:pPr>
      <w:bookmarkStart w:id="106" w:name="_Toc300761900"/>
      <w:bookmarkStart w:id="107" w:name="_Toc300933443"/>
      <w:r>
        <w:rPr>
          <w:lang w:eastAsia="en-AU"/>
        </w:rPr>
        <w:t>2.</w:t>
      </w:r>
      <w:r w:rsidR="000F2F47">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106"/>
      <w:bookmarkEnd w:id="107"/>
    </w:p>
    <w:p w14:paraId="6B08FE3C" w14:textId="1BAF7E60" w:rsidR="00022DBC" w:rsidRPr="00C221DF" w:rsidRDefault="00C221DF" w:rsidP="00022DBC">
      <w:r w:rsidRPr="00C221DF">
        <w:t>There are no issues identified with the application relevant to this objective.</w:t>
      </w:r>
    </w:p>
    <w:p w14:paraId="530E40B4" w14:textId="04685810" w:rsidR="00022DBC" w:rsidRPr="00914030" w:rsidRDefault="00B51E03" w:rsidP="00B51E03">
      <w:pPr>
        <w:pStyle w:val="Heading3"/>
      </w:pPr>
      <w:bookmarkStart w:id="108" w:name="_Toc300761901"/>
      <w:bookmarkStart w:id="109" w:name="_Toc300933444"/>
      <w:bookmarkStart w:id="110" w:name="_Toc524356801"/>
      <w:bookmarkStart w:id="111" w:name="_Toc526338067"/>
      <w:r>
        <w:t>2.</w:t>
      </w:r>
      <w:r w:rsidR="000F2F47">
        <w:t>4</w:t>
      </w:r>
      <w:r>
        <w:t>.3</w:t>
      </w:r>
      <w:r w:rsidR="00022DBC" w:rsidRPr="00914030">
        <w:tab/>
        <w:t xml:space="preserve">Subsection 18(2) </w:t>
      </w:r>
      <w:bookmarkEnd w:id="108"/>
      <w:bookmarkEnd w:id="109"/>
      <w:r w:rsidR="00022DBC" w:rsidRPr="00914030">
        <w:t>considerations</w:t>
      </w:r>
      <w:bookmarkEnd w:id="110"/>
      <w:bookmarkEnd w:id="111"/>
    </w:p>
    <w:p w14:paraId="64D50B6F" w14:textId="77777777" w:rsidR="00022DBC" w:rsidRPr="00914030" w:rsidRDefault="00022DBC" w:rsidP="00022DBC">
      <w:pPr>
        <w:rPr>
          <w:rFonts w:cs="Arial"/>
        </w:rPr>
      </w:pPr>
      <w:r w:rsidRPr="00914030">
        <w:rPr>
          <w:rFonts w:cs="Arial"/>
        </w:rPr>
        <w:t>FSANZ has also had regard to:</w:t>
      </w:r>
    </w:p>
    <w:p w14:paraId="5C249D8E" w14:textId="77777777" w:rsidR="00022DBC" w:rsidRPr="00914030" w:rsidRDefault="00022DBC" w:rsidP="00022DBC">
      <w:pPr>
        <w:rPr>
          <w:rFonts w:cs="Arial"/>
        </w:rPr>
      </w:pPr>
    </w:p>
    <w:p w14:paraId="03BD3093" w14:textId="77777777" w:rsidR="00022DBC" w:rsidRPr="008828D9" w:rsidRDefault="00022DBC" w:rsidP="00022DBC">
      <w:pPr>
        <w:pStyle w:val="FSBullet1"/>
        <w:rPr>
          <w:b/>
        </w:rPr>
      </w:pPr>
      <w:r w:rsidRPr="008828D9">
        <w:rPr>
          <w:b/>
        </w:rPr>
        <w:lastRenderedPageBreak/>
        <w:t>the need for standards to be based on risk analysis using the best available scientific evidence</w:t>
      </w:r>
    </w:p>
    <w:p w14:paraId="0BFD1EAB" w14:textId="77777777" w:rsidR="008828D9" w:rsidRDefault="008828D9" w:rsidP="008828D9">
      <w:pPr>
        <w:rPr>
          <w:lang w:bidi="ar-SA"/>
        </w:rPr>
      </w:pPr>
    </w:p>
    <w:p w14:paraId="544CE85B" w14:textId="11A1584D" w:rsidR="008828D9" w:rsidRPr="00C221DF" w:rsidRDefault="00C221DF" w:rsidP="008828D9">
      <w:pPr>
        <w:rPr>
          <w:lang w:eastAsia="en-AU" w:bidi="ar-SA"/>
        </w:rPr>
      </w:pPr>
      <w:r w:rsidRPr="00C221DF">
        <w:t xml:space="preserve">FSANZ has used the best available scientific evidence to conduct the food technology, hazard and dietary exposure assessment (SD1). The applicant submitted supporting </w:t>
      </w:r>
      <w:r w:rsidR="00EE579E" w:rsidRPr="00C221DF">
        <w:t>information,</w:t>
      </w:r>
      <w:r w:rsidRPr="00C221DF">
        <w:t xml:space="preserve"> including scientific studies, product information and relevant literature, as </w:t>
      </w:r>
      <w:r w:rsidR="00190BC9">
        <w:t>p</w:t>
      </w:r>
      <w:r w:rsidRPr="00C221DF">
        <w:t xml:space="preserve">art of their application. FSANZ also considered other information relevant to the application (referenced in the document and reference list). </w:t>
      </w:r>
    </w:p>
    <w:p w14:paraId="0352E100" w14:textId="77777777" w:rsidR="00C221DF" w:rsidRPr="008828D9" w:rsidRDefault="00C221DF" w:rsidP="008828D9">
      <w:pPr>
        <w:rPr>
          <w:lang w:bidi="ar-SA"/>
        </w:rPr>
      </w:pPr>
    </w:p>
    <w:p w14:paraId="257AC8F2" w14:textId="77777777" w:rsidR="00022DBC" w:rsidRPr="008828D9" w:rsidRDefault="00022DBC" w:rsidP="00022DBC">
      <w:pPr>
        <w:pStyle w:val="FSBullet1"/>
        <w:rPr>
          <w:b/>
        </w:rPr>
      </w:pPr>
      <w:r w:rsidRPr="008828D9">
        <w:rPr>
          <w:b/>
        </w:rPr>
        <w:t>the promotion of consistency between domestic and international food standards</w:t>
      </w:r>
    </w:p>
    <w:p w14:paraId="727BB63D" w14:textId="693A7528" w:rsidR="008828D9" w:rsidRDefault="008828D9" w:rsidP="008828D9">
      <w:pPr>
        <w:rPr>
          <w:lang w:bidi="ar-SA"/>
        </w:rPr>
      </w:pPr>
    </w:p>
    <w:p w14:paraId="02AD74CC" w14:textId="1D9D02B9" w:rsidR="0067087A" w:rsidRDefault="0067087A" w:rsidP="008828D9">
      <w:pPr>
        <w:rPr>
          <w:lang w:bidi="ar-SA"/>
        </w:rPr>
      </w:pPr>
      <w:r>
        <w:rPr>
          <w:lang w:bidi="ar-SA"/>
        </w:rPr>
        <w:t>Codex</w:t>
      </w:r>
      <w:r w:rsidR="00277FE8">
        <w:rPr>
          <w:lang w:bidi="ar-SA"/>
        </w:rPr>
        <w:t>’s</w:t>
      </w:r>
      <w:r>
        <w:rPr>
          <w:lang w:bidi="ar-SA"/>
        </w:rPr>
        <w:t xml:space="preserve"> GSFA contains permission for use of steviol glycosides in a range of foods, including </w:t>
      </w:r>
      <w:r w:rsidR="000C1869">
        <w:rPr>
          <w:lang w:bidi="ar-SA"/>
        </w:rPr>
        <w:t>for water</w:t>
      </w:r>
      <w:r w:rsidR="003F6108">
        <w:rPr>
          <w:lang w:bidi="ar-SA"/>
        </w:rPr>
        <w:t>-</w:t>
      </w:r>
      <w:r w:rsidR="000C1869">
        <w:rPr>
          <w:lang w:bidi="ar-SA"/>
        </w:rPr>
        <w:t>based flavoured drinks</w:t>
      </w:r>
      <w:r>
        <w:rPr>
          <w:lang w:bidi="ar-SA"/>
        </w:rPr>
        <w:t xml:space="preserve"> at a maximum permitted level of 200 mg/kg steviol equivalents. The USA, EU and Canada have similar permissions along with other countries.</w:t>
      </w:r>
    </w:p>
    <w:p w14:paraId="3F11AF1E" w14:textId="77777777" w:rsidR="008828D9" w:rsidRPr="008828D9" w:rsidRDefault="008828D9" w:rsidP="008828D9">
      <w:pPr>
        <w:rPr>
          <w:lang w:bidi="ar-SA"/>
        </w:rPr>
      </w:pPr>
    </w:p>
    <w:p w14:paraId="2477E645" w14:textId="77777777" w:rsidR="00022DBC" w:rsidRPr="008828D9" w:rsidRDefault="00022DBC" w:rsidP="00022DBC">
      <w:pPr>
        <w:pStyle w:val="FSBullet1"/>
        <w:rPr>
          <w:b/>
        </w:rPr>
      </w:pPr>
      <w:r w:rsidRPr="008828D9">
        <w:rPr>
          <w:b/>
        </w:rPr>
        <w:t>the desirability of an efficient and internationally competitive food industry</w:t>
      </w:r>
    </w:p>
    <w:p w14:paraId="26C9ACC6" w14:textId="77777777" w:rsidR="008828D9" w:rsidRDefault="008828D9" w:rsidP="008828D9">
      <w:pPr>
        <w:rPr>
          <w:lang w:bidi="ar-SA"/>
        </w:rPr>
      </w:pPr>
    </w:p>
    <w:p w14:paraId="498E836F" w14:textId="65000DAE" w:rsidR="00DD20E6" w:rsidRPr="00A51B78" w:rsidRDefault="00DD20E6" w:rsidP="00DD20E6">
      <w:r w:rsidRPr="00A51B78">
        <w:t xml:space="preserve">Permitting </w:t>
      </w:r>
      <w:r w:rsidR="00C25D82">
        <w:t>s</w:t>
      </w:r>
      <w:r w:rsidR="00C25D82" w:rsidRPr="00C25D82">
        <w:t xml:space="preserve">teviol glycosides </w:t>
      </w:r>
      <w:r w:rsidRPr="00A51B78">
        <w:t xml:space="preserve">in fruit drinks gives the applicant and other </w:t>
      </w:r>
      <w:r w:rsidR="005A7B5A">
        <w:t>food</w:t>
      </w:r>
      <w:r w:rsidRPr="00A51B78">
        <w:t xml:space="preserve"> manufacturers the opportunity to</w:t>
      </w:r>
      <w:r w:rsidR="0067087A">
        <w:t xml:space="preserve"> manufacture</w:t>
      </w:r>
      <w:r w:rsidRPr="00A51B78">
        <w:t xml:space="preserve"> and sell reduced sugar beverages.  </w:t>
      </w:r>
    </w:p>
    <w:p w14:paraId="74B49F7D" w14:textId="77777777" w:rsidR="008828D9" w:rsidRPr="008828D9" w:rsidRDefault="008828D9" w:rsidP="008828D9">
      <w:pPr>
        <w:rPr>
          <w:lang w:bidi="ar-SA"/>
        </w:rPr>
      </w:pPr>
    </w:p>
    <w:p w14:paraId="50576510" w14:textId="77777777" w:rsidR="00022DBC" w:rsidRPr="008828D9" w:rsidRDefault="00022DBC" w:rsidP="00022DBC">
      <w:pPr>
        <w:pStyle w:val="FSBullet1"/>
        <w:rPr>
          <w:b/>
        </w:rPr>
      </w:pPr>
      <w:r w:rsidRPr="008828D9">
        <w:rPr>
          <w:b/>
        </w:rPr>
        <w:t>the promotion of fair trading in food</w:t>
      </w:r>
    </w:p>
    <w:p w14:paraId="43CCEAF5" w14:textId="77777777" w:rsidR="008828D9" w:rsidRDefault="008828D9" w:rsidP="008828D9">
      <w:pPr>
        <w:rPr>
          <w:lang w:bidi="ar-SA"/>
        </w:rPr>
      </w:pPr>
    </w:p>
    <w:p w14:paraId="275E922C" w14:textId="4D4D1F43" w:rsidR="008828D9" w:rsidRPr="003F3D8E" w:rsidRDefault="00DD20E6" w:rsidP="008828D9">
      <w:pPr>
        <w:rPr>
          <w:color w:val="000000" w:themeColor="text1"/>
        </w:rPr>
      </w:pPr>
      <w:r w:rsidRPr="003F3D8E">
        <w:rPr>
          <w:color w:val="000000" w:themeColor="text1"/>
        </w:rPr>
        <w:t>FSANZ did not identify any relevant issues relating to this consideration.</w:t>
      </w:r>
    </w:p>
    <w:p w14:paraId="721A5B4D" w14:textId="77777777" w:rsidR="008828D9" w:rsidRPr="008828D9" w:rsidRDefault="008828D9" w:rsidP="008828D9">
      <w:pPr>
        <w:rPr>
          <w:lang w:bidi="ar-SA"/>
        </w:rPr>
      </w:pPr>
    </w:p>
    <w:p w14:paraId="782D9773"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081807FF" w14:textId="77777777" w:rsidR="00022DBC" w:rsidRDefault="00022DBC" w:rsidP="00022DBC">
      <w:pPr>
        <w:rPr>
          <w:lang w:bidi="ar-SA"/>
        </w:rPr>
      </w:pPr>
    </w:p>
    <w:p w14:paraId="2BF75570" w14:textId="77777777" w:rsidR="00DD20E6" w:rsidRPr="00871CF9" w:rsidRDefault="00DD20E6" w:rsidP="00DD20E6">
      <w:pPr>
        <w:keepNext/>
        <w:widowControl/>
      </w:pPr>
      <w:r w:rsidRPr="00871CF9">
        <w:t xml:space="preserve">The </w:t>
      </w:r>
      <w:r>
        <w:t xml:space="preserve">Ministerial Policy Guideline for </w:t>
      </w:r>
      <w:hyperlink r:id="rId20" w:history="1">
        <w:r>
          <w:rPr>
            <w:rStyle w:val="Hyperlink"/>
            <w:szCs w:val="22"/>
          </w:rPr>
          <w:t>Addition to Food of Substances other than Vitamins and Minerals</w:t>
        </w:r>
      </w:hyperlink>
      <w:r w:rsidRPr="00871CF9">
        <w:rPr>
          <w:i/>
          <w:vertAlign w:val="superscript"/>
          <w:lang w:bidi="ar-SA"/>
        </w:rPr>
        <w:footnoteReference w:id="3"/>
      </w:r>
      <w:r w:rsidRPr="00871CF9">
        <w:t xml:space="preserve"> includes specific order policy principles for substances added to achieve a solely technological function, such as </w:t>
      </w:r>
      <w:r>
        <w:t>food additives</w:t>
      </w:r>
      <w:r w:rsidRPr="00871CF9">
        <w:t>. These specific order policy principles state that permission should be granted where:</w:t>
      </w:r>
    </w:p>
    <w:p w14:paraId="4A9583AD" w14:textId="77777777" w:rsidR="00DD20E6" w:rsidRPr="00871CF9" w:rsidRDefault="00DD20E6" w:rsidP="00DD20E6">
      <w:pPr>
        <w:pStyle w:val="FSBullet1"/>
      </w:pPr>
      <w:r w:rsidRPr="00871CF9">
        <w:t>the purpose for adding the substance can be articulated clearly by the manufacturer as achieving a solely technological function (i.e. the ‘stated purpose’)</w:t>
      </w:r>
    </w:p>
    <w:p w14:paraId="64E96374" w14:textId="77777777" w:rsidR="00DD20E6" w:rsidRPr="00871CF9" w:rsidRDefault="00DD20E6" w:rsidP="00DD20E6">
      <w:pPr>
        <w:pStyle w:val="FSBullet1"/>
      </w:pPr>
      <w:r w:rsidRPr="00871CF9">
        <w:t>the addition of the substance to food is safe for human consumption</w:t>
      </w:r>
    </w:p>
    <w:p w14:paraId="689950A6" w14:textId="77777777" w:rsidR="00DD20E6" w:rsidRPr="00871CF9" w:rsidRDefault="00DD20E6" w:rsidP="00DD20E6">
      <w:pPr>
        <w:pStyle w:val="FSBullet1"/>
      </w:pPr>
      <w:r w:rsidRPr="00871CF9">
        <w:t>the amounts added are consistent with achieving the technological function</w:t>
      </w:r>
      <w:r>
        <w:t xml:space="preserve"> </w:t>
      </w:r>
    </w:p>
    <w:p w14:paraId="5CB7E5A4" w14:textId="77777777" w:rsidR="00DD20E6" w:rsidRPr="00871CF9" w:rsidRDefault="00DD20E6" w:rsidP="00DD20E6">
      <w:pPr>
        <w:pStyle w:val="FSBullet1"/>
      </w:pPr>
      <w:r w:rsidRPr="00871CF9">
        <w:t>the substance is added in a quantity and a form which is consistent with delivering the stated purpose</w:t>
      </w:r>
      <w:r>
        <w:t xml:space="preserve">, and </w:t>
      </w:r>
    </w:p>
    <w:p w14:paraId="15F1AFA7" w14:textId="77777777" w:rsidR="00DD20E6" w:rsidRPr="008200A6" w:rsidRDefault="00DD20E6" w:rsidP="00DD20E6">
      <w:pPr>
        <w:pStyle w:val="FSBullet1"/>
      </w:pPr>
      <w:r w:rsidRPr="008200A6">
        <w:t>no nutrition, health or related claims are to be made in regard to the substance.</w:t>
      </w:r>
    </w:p>
    <w:p w14:paraId="73EC62CC" w14:textId="77777777" w:rsidR="00DD20E6" w:rsidRPr="00F05D25" w:rsidRDefault="00DD20E6" w:rsidP="00DD20E6"/>
    <w:p w14:paraId="4E9710BD" w14:textId="28E57328" w:rsidR="00DD20E6" w:rsidRPr="00F05D25" w:rsidRDefault="00DD20E6" w:rsidP="00DD20E6">
      <w:r w:rsidRPr="00F05D25">
        <w:t>FSANZ</w:t>
      </w:r>
      <w:r w:rsidR="005D0943">
        <w:t>’s</w:t>
      </w:r>
      <w:r w:rsidRPr="00F05D25">
        <w:t xml:space="preserve"> </w:t>
      </w:r>
      <w:r w:rsidR="005D0943">
        <w:t>assessment is</w:t>
      </w:r>
      <w:r w:rsidR="005D0943" w:rsidRPr="00F05D25">
        <w:t xml:space="preserve"> </w:t>
      </w:r>
      <w:r w:rsidRPr="00F05D25">
        <w:t xml:space="preserve">that permitting </w:t>
      </w:r>
      <w:r>
        <w:t>steviol glycosides in fruit drinks</w:t>
      </w:r>
      <w:r w:rsidRPr="00F05D25" w:rsidDel="00C53C63">
        <w:t xml:space="preserve"> </w:t>
      </w:r>
      <w:r w:rsidRPr="00F05D25">
        <w:t xml:space="preserve">is consistent with the </w:t>
      </w:r>
      <w:r>
        <w:t xml:space="preserve">Ministerial Policy Guideline and the </w:t>
      </w:r>
      <w:r w:rsidRPr="00F05D25">
        <w:t>specific order principles for ‘Technological Function’</w:t>
      </w:r>
      <w:r>
        <w:t xml:space="preserve"> as a food additive</w:t>
      </w:r>
      <w:r w:rsidR="00C25D82">
        <w:t>.</w:t>
      </w:r>
    </w:p>
    <w:p w14:paraId="5EFB0CAF" w14:textId="5879EC7F" w:rsidR="00E520FE" w:rsidRDefault="00E520FE" w:rsidP="00DD3C5E"/>
    <w:p w14:paraId="602287D7" w14:textId="13AC1621" w:rsidR="005F7342" w:rsidRPr="00B760D0" w:rsidRDefault="00867B23" w:rsidP="00E203C2">
      <w:pPr>
        <w:pStyle w:val="Heading1"/>
      </w:pPr>
      <w:bookmarkStart w:id="112" w:name="_Toc286391014"/>
      <w:bookmarkStart w:id="113" w:name="_Toc175381455"/>
      <w:bookmarkStart w:id="114" w:name="_Toc300933445"/>
      <w:bookmarkStart w:id="115" w:name="_Toc524356802"/>
      <w:bookmarkStart w:id="116" w:name="_Toc526338068"/>
      <w:bookmarkEnd w:id="47"/>
      <w:bookmarkEnd w:id="48"/>
      <w:bookmarkEnd w:id="49"/>
      <w:bookmarkEnd w:id="50"/>
      <w:bookmarkEnd w:id="51"/>
      <w:bookmarkEnd w:id="52"/>
      <w:bookmarkEnd w:id="81"/>
      <w:r>
        <w:t>3</w:t>
      </w:r>
      <w:r w:rsidR="00F604DE">
        <w:tab/>
      </w:r>
      <w:bookmarkEnd w:id="112"/>
      <w:bookmarkEnd w:id="113"/>
      <w:bookmarkEnd w:id="114"/>
      <w:r w:rsidR="00D14405">
        <w:t xml:space="preserve">Draft </w:t>
      </w:r>
      <w:r w:rsidR="00D14405" w:rsidRPr="00B760D0">
        <w:t>variation</w:t>
      </w:r>
      <w:bookmarkEnd w:id="115"/>
      <w:bookmarkEnd w:id="116"/>
    </w:p>
    <w:p w14:paraId="27C21D05" w14:textId="4E9362CD" w:rsidR="00D209C9" w:rsidRPr="00B760D0" w:rsidRDefault="00D209C9" w:rsidP="00D209C9">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w:t>
      </w:r>
      <w:r w:rsidR="00401903" w:rsidRPr="00B760D0">
        <w:t>gazettal</w:t>
      </w:r>
      <w:r w:rsidRPr="00B760D0">
        <w:t>.</w:t>
      </w:r>
    </w:p>
    <w:p w14:paraId="5CE02175" w14:textId="77777777" w:rsidR="00D209C9" w:rsidRPr="001E1FAB" w:rsidRDefault="00D209C9" w:rsidP="00D209C9">
      <w:pPr>
        <w:rPr>
          <w:color w:val="000000" w:themeColor="text1"/>
        </w:rPr>
      </w:pPr>
    </w:p>
    <w:p w14:paraId="1D705AC6"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56244384" w14:textId="77777777" w:rsidR="00D26814" w:rsidRPr="00924C80" w:rsidRDefault="00D26814" w:rsidP="002432EE">
      <w:pPr>
        <w:rPr>
          <w:rFonts w:cs="Arial"/>
          <w:color w:val="FF0000"/>
        </w:rPr>
      </w:pPr>
      <w:bookmarkStart w:id="117" w:name="_Toc11735643"/>
      <w:bookmarkStart w:id="118" w:name="_Toc29883130"/>
      <w:bookmarkStart w:id="119" w:name="_Toc41906817"/>
      <w:bookmarkStart w:id="120" w:name="_Toc41907564"/>
      <w:bookmarkStart w:id="121" w:name="_Toc43112360"/>
    </w:p>
    <w:p w14:paraId="483F1078" w14:textId="77777777" w:rsidR="00924C80" w:rsidRPr="00DD20E6" w:rsidRDefault="00867B23" w:rsidP="00E75054">
      <w:pPr>
        <w:pStyle w:val="Heading1"/>
      </w:pPr>
      <w:bookmarkStart w:id="122" w:name="_Toc300933452"/>
      <w:bookmarkStart w:id="123" w:name="_Toc524356803"/>
      <w:bookmarkStart w:id="124" w:name="_Toc526338069"/>
      <w:r w:rsidRPr="00DD20E6">
        <w:t>4</w:t>
      </w:r>
      <w:r w:rsidR="00924C80" w:rsidRPr="00DD20E6">
        <w:tab/>
        <w:t>R</w:t>
      </w:r>
      <w:bookmarkEnd w:id="122"/>
      <w:r w:rsidR="006C28E2" w:rsidRPr="00DD20E6">
        <w:t>eferences</w:t>
      </w:r>
      <w:bookmarkEnd w:id="123"/>
      <w:bookmarkEnd w:id="124"/>
    </w:p>
    <w:p w14:paraId="574BC5D4" w14:textId="27C3C3BE" w:rsidR="00540340" w:rsidRDefault="00540340" w:rsidP="00DA258B">
      <w:r>
        <w:t>European Commission (2016)</w:t>
      </w:r>
      <w:r w:rsidR="008E0B69">
        <w:t xml:space="preserve"> </w:t>
      </w:r>
      <w:r w:rsidR="001833D3">
        <w:t xml:space="preserve">Official Journal of the European Union. </w:t>
      </w:r>
      <w:hyperlink r:id="rId21" w:history="1">
        <w:r w:rsidR="008E0B69" w:rsidRPr="001833D3">
          <w:rPr>
            <w:rStyle w:val="Hyperlink"/>
          </w:rPr>
          <w:t>Commission Regulation (EU) 2016/1814 of 13 October 2016 amending the Annex to Regulation (EU) No 231/2012 laying down specifications for food additives listed in Annexes II and III to Regulation (EC) No 1333/2008 of the European Parliament and of the Council as regards specifications for steviol glycosides (E 960)</w:t>
        </w:r>
        <w:r w:rsidR="001833D3" w:rsidRPr="001833D3">
          <w:rPr>
            <w:rStyle w:val="Hyperlink"/>
          </w:rPr>
          <w:t>.</w:t>
        </w:r>
      </w:hyperlink>
      <w:r w:rsidR="001833D3">
        <w:t xml:space="preserve"> Accessed 7 Sep 18</w:t>
      </w:r>
    </w:p>
    <w:p w14:paraId="28D6A970" w14:textId="39ED6639" w:rsidR="00540340" w:rsidRDefault="00540340" w:rsidP="00DA258B"/>
    <w:p w14:paraId="63775C37" w14:textId="24EE6590" w:rsidR="00540340" w:rsidRDefault="00540340" w:rsidP="00DA258B">
      <w:r>
        <w:t>European Commission (2011)</w:t>
      </w:r>
      <w:r w:rsidR="008E0B69">
        <w:t xml:space="preserve"> Official Journal of the European Union.  </w:t>
      </w:r>
      <w:hyperlink r:id="rId22" w:history="1">
        <w:r w:rsidR="008E0B69" w:rsidRPr="008E0B69">
          <w:rPr>
            <w:rStyle w:val="Hyperlink"/>
          </w:rPr>
          <w:t>Commission Regulation (EU) No 1131/2011 of 11 Nov 2011 , amending Annex II to Regulation (EC) No. 1333/2008 of the European Parliament and of the Council with regard to steviol glycosides</w:t>
        </w:r>
      </w:hyperlink>
      <w:r w:rsidR="008E0B69">
        <w:t xml:space="preserve">. Accessed 7 Sep 18 </w:t>
      </w:r>
    </w:p>
    <w:p w14:paraId="199AF3E1" w14:textId="77777777" w:rsidR="00540340" w:rsidRDefault="00540340" w:rsidP="00DA258B"/>
    <w:p w14:paraId="2C5F5D89" w14:textId="6EC95B21" w:rsidR="00D8779F" w:rsidRDefault="00D8779F" w:rsidP="00D8779F">
      <w:pPr>
        <w:rPr>
          <w:szCs w:val="22"/>
          <w:lang w:bidi="ar-SA"/>
        </w:rPr>
      </w:pPr>
      <w:r>
        <w:rPr>
          <w:szCs w:val="22"/>
          <w:lang w:bidi="ar-SA"/>
        </w:rPr>
        <w:t xml:space="preserve">FAO/WHO (2018) Codex Alimentaruis Commission.  </w:t>
      </w:r>
      <w:hyperlink r:id="rId23" w:history="1">
        <w:r w:rsidRPr="00A37433">
          <w:rPr>
            <w:rStyle w:val="Hyperlink"/>
            <w:szCs w:val="22"/>
            <w:lang w:bidi="ar-SA"/>
          </w:rPr>
          <w:t>Codex general standard for food additives, codex STAN 192-1995.</w:t>
        </w:r>
      </w:hyperlink>
      <w:r>
        <w:rPr>
          <w:szCs w:val="22"/>
          <w:lang w:bidi="ar-SA"/>
        </w:rPr>
        <w:t xml:space="preserve"> Accessed 7 Sep 18</w:t>
      </w:r>
    </w:p>
    <w:p w14:paraId="18E2F1C0" w14:textId="77777777" w:rsidR="00D8779F" w:rsidRDefault="00D8779F" w:rsidP="00DA258B"/>
    <w:p w14:paraId="1BD80422" w14:textId="733A24E5" w:rsidR="00DA258B" w:rsidRDefault="004E13B5" w:rsidP="00DA258B">
      <w:r>
        <w:t>JECFA</w:t>
      </w:r>
      <w:r w:rsidR="00DA258B" w:rsidRPr="00C01C95">
        <w:t xml:space="preserve"> (</w:t>
      </w:r>
      <w:r w:rsidR="005F1841" w:rsidRPr="00C01C95">
        <w:t>201</w:t>
      </w:r>
      <w:r w:rsidR="005F1841">
        <w:t>7</w:t>
      </w:r>
      <w:r w:rsidR="00DA258B" w:rsidRPr="00C01C95">
        <w:t>)</w:t>
      </w:r>
      <w:hyperlink r:id="rId24" w:history="1">
        <w:r w:rsidR="00DA258B" w:rsidRPr="009A68E5">
          <w:rPr>
            <w:rStyle w:val="Hyperlink"/>
          </w:rPr>
          <w:t xml:space="preserve"> </w:t>
        </w:r>
        <w:r w:rsidR="00DA258B" w:rsidRPr="00C3746E">
          <w:rPr>
            <w:rStyle w:val="Hyperlink"/>
          </w:rPr>
          <w:t xml:space="preserve">Compendium of food additive specifications. Joint FAO/WHO Expert Committee on Food Additives. </w:t>
        </w:r>
        <w:r w:rsidR="005F1841" w:rsidRPr="00C3746E">
          <w:rPr>
            <w:rStyle w:val="Hyperlink"/>
          </w:rPr>
          <w:t>8</w:t>
        </w:r>
        <w:r w:rsidR="005F1841">
          <w:rPr>
            <w:rStyle w:val="Hyperlink"/>
          </w:rPr>
          <w:t>4th</w:t>
        </w:r>
        <w:r w:rsidR="005F1841" w:rsidRPr="00C3746E">
          <w:rPr>
            <w:rStyle w:val="Hyperlink"/>
          </w:rPr>
          <w:t xml:space="preserve"> </w:t>
        </w:r>
        <w:r w:rsidR="00DA258B" w:rsidRPr="00C3746E">
          <w:rPr>
            <w:rStyle w:val="Hyperlink"/>
          </w:rPr>
          <w:t>meeting 201</w:t>
        </w:r>
        <w:r w:rsidR="005F1841">
          <w:rPr>
            <w:rStyle w:val="Hyperlink"/>
          </w:rPr>
          <w:t>7</w:t>
        </w:r>
        <w:r w:rsidR="00DA258B" w:rsidRPr="009A68E5">
          <w:rPr>
            <w:rStyle w:val="Hyperlink"/>
          </w:rPr>
          <w:t xml:space="preserve">, Monograph </w:t>
        </w:r>
        <w:r w:rsidR="005F1841">
          <w:rPr>
            <w:rStyle w:val="Hyperlink"/>
          </w:rPr>
          <w:t>20</w:t>
        </w:r>
        <w:r w:rsidR="00DA258B" w:rsidRPr="009A68E5">
          <w:rPr>
            <w:rStyle w:val="Hyperlink"/>
          </w:rPr>
          <w:t>.</w:t>
        </w:r>
      </w:hyperlink>
      <w:r w:rsidR="00DA258B" w:rsidRPr="00C01C95">
        <w:t xml:space="preserve"> </w:t>
      </w:r>
      <w:r w:rsidR="00DA258B" w:rsidRPr="00C3746E">
        <w:t xml:space="preserve">Accessed </w:t>
      </w:r>
      <w:r w:rsidR="00DA258B">
        <w:t>21 Aug</w:t>
      </w:r>
      <w:r w:rsidR="00DA258B" w:rsidRPr="00C3746E">
        <w:t xml:space="preserve"> 18</w:t>
      </w:r>
    </w:p>
    <w:p w14:paraId="2B01F016" w14:textId="76068620" w:rsidR="00FB2848" w:rsidRDefault="00FB2848" w:rsidP="00DA258B"/>
    <w:p w14:paraId="34D51B35" w14:textId="7C150FB4" w:rsidR="009C2D8E" w:rsidRDefault="009C2D8E" w:rsidP="009C2D8E">
      <w:pPr>
        <w:rPr>
          <w:rFonts w:cs="Arial"/>
        </w:rPr>
      </w:pPr>
      <w:r>
        <w:t>FAO/</w:t>
      </w:r>
      <w:r>
        <w:rPr>
          <w:rFonts w:cs="Arial"/>
        </w:rPr>
        <w:t xml:space="preserve">WHO (2009) </w:t>
      </w:r>
      <w:hyperlink r:id="rId25" w:history="1">
        <w:r w:rsidRPr="003068B6">
          <w:rPr>
            <w:rStyle w:val="Hyperlink"/>
            <w:rFonts w:cs="Arial"/>
          </w:rPr>
          <w:t>Safety evaluation of certain food additives. Joint FAO/WHO Expert Committee on Food Additives. 69</w:t>
        </w:r>
        <w:r w:rsidRPr="003068B6">
          <w:rPr>
            <w:rStyle w:val="Hyperlink"/>
            <w:rFonts w:cs="Arial"/>
            <w:vertAlign w:val="superscript"/>
          </w:rPr>
          <w:t>th</w:t>
        </w:r>
        <w:r w:rsidRPr="003068B6">
          <w:rPr>
            <w:rStyle w:val="Hyperlink"/>
            <w:rFonts w:cs="Arial"/>
          </w:rPr>
          <w:t xml:space="preserve"> meeting 2009, WHO Food Additives Series: 60.</w:t>
        </w:r>
      </w:hyperlink>
      <w:r>
        <w:rPr>
          <w:rFonts w:cs="Arial"/>
        </w:rPr>
        <w:t xml:space="preserve"> </w:t>
      </w:r>
    </w:p>
    <w:p w14:paraId="6E81A03C" w14:textId="6484EA6A" w:rsidR="009C2D8E" w:rsidRPr="005042DB" w:rsidRDefault="009C2D8E" w:rsidP="009C2D8E">
      <w:pPr>
        <w:rPr>
          <w:rFonts w:cs="Arial"/>
          <w:color w:val="0000FF"/>
        </w:rPr>
      </w:pPr>
      <w:r w:rsidRPr="009C2D8E">
        <w:rPr>
          <w:rFonts w:cs="Arial"/>
        </w:rPr>
        <w:t>Accessed</w:t>
      </w:r>
      <w:r>
        <w:rPr>
          <w:rFonts w:cs="Arial"/>
        </w:rPr>
        <w:t xml:space="preserve"> 28 Aug 2018</w:t>
      </w:r>
    </w:p>
    <w:p w14:paraId="2D871E3A" w14:textId="77777777" w:rsidR="00D8779F" w:rsidRDefault="00D8779F" w:rsidP="009C2D8E">
      <w:pPr>
        <w:rPr>
          <w:szCs w:val="22"/>
          <w:lang w:bidi="ar-SA"/>
        </w:rPr>
      </w:pPr>
    </w:p>
    <w:p w14:paraId="71D3498B" w14:textId="134C368E" w:rsidR="009C2D8E" w:rsidRPr="00CE259A" w:rsidRDefault="009C2D8E" w:rsidP="009C2D8E">
      <w:pPr>
        <w:rPr>
          <w:szCs w:val="22"/>
          <w:lang w:bidi="ar-SA"/>
        </w:rPr>
      </w:pPr>
      <w:r w:rsidRPr="00CE259A">
        <w:rPr>
          <w:szCs w:val="22"/>
          <w:lang w:bidi="ar-SA"/>
        </w:rPr>
        <w:t xml:space="preserve">FSANZ (2008) </w:t>
      </w:r>
      <w:hyperlink r:id="rId26" w:history="1">
        <w:r>
          <w:rPr>
            <w:rStyle w:val="Hyperlink"/>
            <w:szCs w:val="22"/>
            <w:lang w:bidi="ar-SA"/>
          </w:rPr>
          <w:t>Application A540 Steviol Glycosides as Intense Sweeteners.</w:t>
        </w:r>
      </w:hyperlink>
      <w:r w:rsidRPr="00CE259A">
        <w:rPr>
          <w:szCs w:val="22"/>
          <w:lang w:bidi="ar-SA"/>
        </w:rPr>
        <w:t xml:space="preserve"> Food Standards Australia New Zealand.</w:t>
      </w:r>
    </w:p>
    <w:p w14:paraId="28E44DAC" w14:textId="77777777" w:rsidR="009C2D8E" w:rsidRDefault="009C2D8E" w:rsidP="00302121"/>
    <w:p w14:paraId="71A3A866" w14:textId="025CDED7" w:rsidR="00302121" w:rsidRDefault="00302121" w:rsidP="00302121">
      <w:r>
        <w:t xml:space="preserve">Health Canada (2018a) </w:t>
      </w:r>
      <w:hyperlink r:id="rId27" w:history="1">
        <w:r w:rsidRPr="001174EC">
          <w:rPr>
            <w:rStyle w:val="Hyperlink"/>
          </w:rPr>
          <w:t>Marketing authorisations that may be used as sweeteners.</w:t>
        </w:r>
        <w:r w:rsidRPr="001174EC">
          <w:rPr>
            <w:rStyle w:val="Hyperlink"/>
            <w:lang w:val="en"/>
          </w:rPr>
          <w:t xml:space="preserve"> SOR/2012-210</w:t>
        </w:r>
      </w:hyperlink>
      <w:r>
        <w:t xml:space="preserve"> Accessed 7 Sep 18</w:t>
      </w:r>
    </w:p>
    <w:p w14:paraId="08DBEA9A" w14:textId="66809F36" w:rsidR="00302121" w:rsidRDefault="00302121" w:rsidP="00302121">
      <w:r>
        <w:t xml:space="preserve"> </w:t>
      </w:r>
    </w:p>
    <w:p w14:paraId="3221BBC6" w14:textId="77777777" w:rsidR="00600E4C" w:rsidRDefault="00600E4C" w:rsidP="00600E4C">
      <w:r>
        <w:t xml:space="preserve">Health Canada (2018b) </w:t>
      </w:r>
      <w:hyperlink r:id="rId28" w:history="1">
        <w:r w:rsidRPr="00FB2848">
          <w:rPr>
            <w:rStyle w:val="Hyperlink"/>
          </w:rPr>
          <w:t xml:space="preserve">9. Lists of permitted sweeteners (Lists of permitted food additives). </w:t>
        </w:r>
      </w:hyperlink>
      <w:r>
        <w:t xml:space="preserve"> Accessed 7 Sep 18</w:t>
      </w:r>
    </w:p>
    <w:p w14:paraId="2F4A1D15" w14:textId="77777777" w:rsidR="00600E4C" w:rsidRDefault="00600E4C" w:rsidP="00600E4C">
      <w:r>
        <w:t xml:space="preserve"> </w:t>
      </w:r>
    </w:p>
    <w:p w14:paraId="214903FE" w14:textId="3580FB07" w:rsidR="00CC4B0A" w:rsidRPr="00C01C95" w:rsidRDefault="00302121" w:rsidP="00DA258B">
      <w:r>
        <w:t>Health Canada (</w:t>
      </w:r>
      <w:r w:rsidR="00600E4C">
        <w:t>2018c</w:t>
      </w:r>
      <w:r>
        <w:t xml:space="preserve">) </w:t>
      </w:r>
      <w:hyperlink r:id="rId29" w:history="1">
        <w:r w:rsidRPr="00FB2848">
          <w:rPr>
            <w:rStyle w:val="Hyperlink"/>
          </w:rPr>
          <w:t>Labelling of steviol glycosides.</w:t>
        </w:r>
      </w:hyperlink>
      <w:r>
        <w:t xml:space="preserve"> Accessed 7 Sep 18</w:t>
      </w:r>
      <w:r w:rsidR="00CC4B0A">
        <w:t xml:space="preserve">United States Food and Drug Administration (2018). </w:t>
      </w:r>
      <w:hyperlink r:id="rId30" w:history="1">
        <w:r w:rsidR="00CC4B0A" w:rsidRPr="00CC4B0A">
          <w:rPr>
            <w:rStyle w:val="Hyperlink"/>
          </w:rPr>
          <w:t>Has Stevia been approved by FDA to be used as a sweetener?</w:t>
        </w:r>
      </w:hyperlink>
      <w:r w:rsidR="00CC4B0A">
        <w:t xml:space="preserve"> Accessed 7 Sep 18 </w:t>
      </w:r>
    </w:p>
    <w:bookmarkEnd w:id="117"/>
    <w:bookmarkEnd w:id="118"/>
    <w:bookmarkEnd w:id="119"/>
    <w:bookmarkEnd w:id="120"/>
    <w:bookmarkEnd w:id="121"/>
    <w:p w14:paraId="425378B6"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74AAFA4" w14:textId="77777777" w:rsidR="00A4175D" w:rsidRPr="00E203C2" w:rsidRDefault="00A4175D" w:rsidP="00AF06FC"/>
    <w:p w14:paraId="2740F208" w14:textId="43D53648"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0191F361" w14:textId="77777777" w:rsidR="00AB0275" w:rsidRDefault="00AB0275" w:rsidP="00AB0275">
      <w:pPr>
        <w:ind w:left="567" w:hanging="567"/>
      </w:pPr>
      <w:r w:rsidRPr="00456BD5">
        <w:t>B.</w:t>
      </w:r>
      <w:r w:rsidRPr="00456BD5">
        <w:tab/>
      </w:r>
      <w:r w:rsidR="002C4A91">
        <w:t xml:space="preserve">Draft </w:t>
      </w:r>
      <w:r>
        <w:t xml:space="preserve">Explanatory Statement </w:t>
      </w:r>
    </w:p>
    <w:p w14:paraId="573274E1" w14:textId="77777777" w:rsidR="00D60568" w:rsidRPr="00E203C2" w:rsidRDefault="00D60568" w:rsidP="002432EE"/>
    <w:p w14:paraId="45BAAEC3" w14:textId="04B5B735" w:rsidR="00AB0275" w:rsidRPr="00456BD5" w:rsidRDefault="00AB0275" w:rsidP="00AB0275">
      <w:pPr>
        <w:pStyle w:val="Heading2"/>
        <w:ind w:left="0" w:firstLine="0"/>
      </w:pPr>
      <w:bookmarkStart w:id="125" w:name="_Toc300933454"/>
      <w:r w:rsidRPr="00932F14">
        <w:br w:type="page"/>
      </w:r>
      <w:bookmarkStart w:id="126" w:name="_Toc29883131"/>
      <w:bookmarkStart w:id="127" w:name="_Toc41906818"/>
      <w:bookmarkStart w:id="128" w:name="_Toc41907565"/>
      <w:bookmarkStart w:id="129" w:name="_Toc120358596"/>
      <w:bookmarkStart w:id="130" w:name="_Toc175381458"/>
      <w:bookmarkStart w:id="131" w:name="_Toc11735644"/>
      <w:bookmarkStart w:id="132" w:name="_Toc415572037"/>
      <w:bookmarkStart w:id="133" w:name="_Toc524356804"/>
      <w:bookmarkStart w:id="134" w:name="_Toc526338070"/>
      <w:r w:rsidRPr="00932F14">
        <w:lastRenderedPageBreak/>
        <w:t xml:space="preserve">Attachment </w:t>
      </w:r>
      <w:bookmarkEnd w:id="126"/>
      <w:bookmarkEnd w:id="127"/>
      <w:bookmarkEnd w:id="128"/>
      <w:bookmarkEnd w:id="129"/>
      <w:bookmarkEnd w:id="130"/>
      <w:r>
        <w:t>A</w:t>
      </w:r>
      <w:bookmarkStart w:id="135" w:name="_Toc120358597"/>
      <w:bookmarkStart w:id="136" w:name="_Toc175381459"/>
      <w:bookmarkEnd w:id="131"/>
      <w:r>
        <w:t xml:space="preserve"> –</w:t>
      </w:r>
      <w:r w:rsidR="00CA3C65">
        <w:t xml:space="preserve"> </w:t>
      </w:r>
      <w:bookmarkStart w:id="137" w:name="_Toc415572039"/>
      <w:bookmarkEnd w:id="125"/>
      <w:bookmarkEnd w:id="132"/>
      <w:bookmarkEnd w:id="135"/>
      <w:bookmarkEnd w:id="136"/>
      <w:r w:rsidR="00CA3C65">
        <w:t>D</w:t>
      </w:r>
      <w:r>
        <w:t xml:space="preserve">raft </w:t>
      </w:r>
      <w:r w:rsidRPr="00932F14">
        <w:t>variation to the</w:t>
      </w:r>
      <w:r w:rsidRPr="00755F02">
        <w:t xml:space="preserve"> </w:t>
      </w:r>
      <w:r w:rsidRPr="00795D86">
        <w:rPr>
          <w:i/>
        </w:rPr>
        <w:t>Australia New Zealand Food Standards Code</w:t>
      </w:r>
      <w:bookmarkEnd w:id="133"/>
      <w:bookmarkEnd w:id="134"/>
      <w:r>
        <w:rPr>
          <w:i/>
        </w:rPr>
        <w:t xml:space="preserve"> </w:t>
      </w:r>
      <w:bookmarkEnd w:id="137"/>
    </w:p>
    <w:p w14:paraId="25CF37AC" w14:textId="77777777" w:rsidR="00AB0275" w:rsidRPr="00795D86" w:rsidRDefault="00AB0275" w:rsidP="00AB0275">
      <w:pPr>
        <w:rPr>
          <w:lang w:bidi="ar-SA"/>
        </w:rPr>
      </w:pPr>
    </w:p>
    <w:p w14:paraId="0E3909DA" w14:textId="77777777" w:rsidR="003E4BE1" w:rsidRPr="00C0014E" w:rsidRDefault="003E4BE1" w:rsidP="003E4BE1">
      <w:pPr>
        <w:rPr>
          <w:noProof/>
          <w:sz w:val="20"/>
          <w:lang w:val="en-AU" w:eastAsia="en-AU"/>
        </w:rPr>
      </w:pPr>
      <w:r w:rsidRPr="00C0014E">
        <w:rPr>
          <w:noProof/>
          <w:sz w:val="20"/>
          <w:lang w:eastAsia="en-GB" w:bidi="ar-SA"/>
        </w:rPr>
        <w:drawing>
          <wp:inline distT="0" distB="0" distL="0" distR="0" wp14:anchorId="25824C73" wp14:editId="12BB990B">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D3BB8BA" w14:textId="77777777" w:rsidR="003E4BE1" w:rsidRPr="006153A1" w:rsidRDefault="003E4BE1" w:rsidP="003E4BE1">
      <w:pPr>
        <w:pBdr>
          <w:bottom w:val="single" w:sz="4" w:space="1" w:color="auto"/>
        </w:pBdr>
        <w:rPr>
          <w:b/>
          <w:bCs/>
        </w:rPr>
      </w:pPr>
    </w:p>
    <w:p w14:paraId="372A8AD1" w14:textId="77777777" w:rsidR="003E4BE1" w:rsidRPr="00C0014E" w:rsidRDefault="003E4BE1" w:rsidP="003E4BE1">
      <w:pPr>
        <w:pBdr>
          <w:bottom w:val="single" w:sz="4" w:space="1" w:color="auto"/>
        </w:pBdr>
        <w:rPr>
          <w:b/>
          <w:sz w:val="20"/>
        </w:rPr>
      </w:pPr>
      <w:r w:rsidRPr="006153A1">
        <w:rPr>
          <w:b/>
          <w:sz w:val="20"/>
        </w:rPr>
        <w:t>Food Standards (</w:t>
      </w:r>
      <w:r>
        <w:rPr>
          <w:b/>
          <w:sz w:val="20"/>
        </w:rPr>
        <w:t>Application A1149</w:t>
      </w:r>
      <w:r w:rsidRPr="00F618DF">
        <w:rPr>
          <w:b/>
          <w:sz w:val="20"/>
        </w:rPr>
        <w:t xml:space="preserve"> </w:t>
      </w:r>
      <w:r w:rsidRPr="00A32232">
        <w:rPr>
          <w:b/>
          <w:sz w:val="20"/>
        </w:rPr>
        <w:t xml:space="preserve">– </w:t>
      </w:r>
      <w:r>
        <w:rPr>
          <w:b/>
          <w:sz w:val="20"/>
        </w:rPr>
        <w:t>Addition of Steviol Glycosides in Fruit Drinks)</w:t>
      </w:r>
      <w:r w:rsidRPr="00C0014E">
        <w:rPr>
          <w:b/>
          <w:sz w:val="20"/>
        </w:rPr>
        <w:t xml:space="preserve"> Variation</w:t>
      </w:r>
    </w:p>
    <w:p w14:paraId="761C4632" w14:textId="77777777" w:rsidR="003E4BE1" w:rsidRPr="008F2616" w:rsidRDefault="003E4BE1" w:rsidP="003E4BE1">
      <w:pPr>
        <w:rPr>
          <w:sz w:val="20"/>
        </w:rPr>
      </w:pPr>
    </w:p>
    <w:p w14:paraId="35BDD6F0" w14:textId="77777777" w:rsidR="003E4BE1" w:rsidRPr="008F2616" w:rsidRDefault="003E4BE1" w:rsidP="003E4BE1">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4EEB88E2" w14:textId="77777777" w:rsidR="003E4BE1" w:rsidRPr="008F2616" w:rsidRDefault="003E4BE1" w:rsidP="003E4BE1">
      <w:pPr>
        <w:rPr>
          <w:sz w:val="20"/>
        </w:rPr>
      </w:pPr>
    </w:p>
    <w:p w14:paraId="3CEF1BD2" w14:textId="77777777" w:rsidR="003E4BE1" w:rsidRPr="008F2616" w:rsidRDefault="003E4BE1" w:rsidP="003E4BE1">
      <w:pPr>
        <w:rPr>
          <w:sz w:val="20"/>
        </w:rPr>
      </w:pPr>
      <w:r w:rsidRPr="008F2616">
        <w:rPr>
          <w:sz w:val="20"/>
        </w:rPr>
        <w:t xml:space="preserve">Dated </w:t>
      </w:r>
      <w:r>
        <w:rPr>
          <w:sz w:val="20"/>
        </w:rPr>
        <w:t>[To be completed by Delegate]</w:t>
      </w:r>
    </w:p>
    <w:p w14:paraId="3C0B1956" w14:textId="77777777" w:rsidR="003E4BE1" w:rsidRPr="008F2616" w:rsidRDefault="003E4BE1" w:rsidP="003E4BE1">
      <w:pPr>
        <w:rPr>
          <w:sz w:val="20"/>
        </w:rPr>
      </w:pPr>
    </w:p>
    <w:p w14:paraId="10D7CE1D" w14:textId="77777777" w:rsidR="003E4BE1" w:rsidRDefault="003E4BE1" w:rsidP="003E4BE1">
      <w:pPr>
        <w:rPr>
          <w:sz w:val="20"/>
        </w:rPr>
      </w:pPr>
    </w:p>
    <w:p w14:paraId="420AE828" w14:textId="77777777" w:rsidR="003E4BE1" w:rsidRDefault="003E4BE1" w:rsidP="003E4BE1">
      <w:pPr>
        <w:rPr>
          <w:sz w:val="20"/>
        </w:rPr>
      </w:pPr>
    </w:p>
    <w:p w14:paraId="37791428" w14:textId="77777777" w:rsidR="003E4BE1" w:rsidRPr="008F2616" w:rsidRDefault="003E4BE1" w:rsidP="003E4BE1">
      <w:pPr>
        <w:rPr>
          <w:sz w:val="20"/>
        </w:rPr>
      </w:pPr>
    </w:p>
    <w:p w14:paraId="3B072344" w14:textId="77777777" w:rsidR="003E4BE1" w:rsidRPr="008F2616" w:rsidRDefault="003E4BE1" w:rsidP="003E4BE1">
      <w:pPr>
        <w:rPr>
          <w:sz w:val="20"/>
        </w:rPr>
      </w:pPr>
    </w:p>
    <w:p w14:paraId="1BE0AE4A" w14:textId="77777777" w:rsidR="003E4BE1" w:rsidRPr="008F2616" w:rsidRDefault="003E4BE1" w:rsidP="003E4BE1">
      <w:pPr>
        <w:rPr>
          <w:sz w:val="20"/>
        </w:rPr>
      </w:pPr>
      <w:r>
        <w:rPr>
          <w:sz w:val="20"/>
        </w:rPr>
        <w:t>Insert Delegate Name and Title</w:t>
      </w:r>
    </w:p>
    <w:p w14:paraId="158B0468" w14:textId="77777777" w:rsidR="003E4BE1" w:rsidRPr="008F2616" w:rsidRDefault="003E4BE1" w:rsidP="003E4BE1">
      <w:pPr>
        <w:rPr>
          <w:sz w:val="20"/>
        </w:rPr>
      </w:pPr>
      <w:r w:rsidRPr="008F2616">
        <w:rPr>
          <w:sz w:val="20"/>
        </w:rPr>
        <w:t>Delegate of the Board of Food Standards Australia New Zealand</w:t>
      </w:r>
    </w:p>
    <w:p w14:paraId="1134D41D" w14:textId="77777777" w:rsidR="003E4BE1" w:rsidRDefault="003E4BE1" w:rsidP="003E4BE1">
      <w:pPr>
        <w:rPr>
          <w:sz w:val="20"/>
        </w:rPr>
      </w:pPr>
    </w:p>
    <w:p w14:paraId="32BA1735" w14:textId="77777777" w:rsidR="003E4BE1" w:rsidRDefault="003E4BE1" w:rsidP="003E4BE1">
      <w:pPr>
        <w:rPr>
          <w:sz w:val="20"/>
        </w:rPr>
      </w:pPr>
    </w:p>
    <w:p w14:paraId="28190859" w14:textId="77777777" w:rsidR="003E4BE1" w:rsidRDefault="003E4BE1" w:rsidP="003E4BE1">
      <w:pPr>
        <w:rPr>
          <w:sz w:val="20"/>
        </w:rPr>
      </w:pPr>
    </w:p>
    <w:p w14:paraId="63620BBB" w14:textId="77777777" w:rsidR="003E4BE1" w:rsidRDefault="003E4BE1" w:rsidP="003E4BE1">
      <w:pPr>
        <w:rPr>
          <w:sz w:val="20"/>
        </w:rPr>
      </w:pPr>
    </w:p>
    <w:p w14:paraId="4368F720" w14:textId="77777777" w:rsidR="003E4BE1" w:rsidRDefault="003E4BE1" w:rsidP="003E4BE1">
      <w:pPr>
        <w:rPr>
          <w:sz w:val="20"/>
        </w:rPr>
      </w:pPr>
    </w:p>
    <w:p w14:paraId="2CDD5992" w14:textId="77777777" w:rsidR="003E4BE1" w:rsidRPr="00360C8F" w:rsidRDefault="003E4BE1" w:rsidP="003E4BE1">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42C212CD" w14:textId="77777777" w:rsidR="003E4BE1" w:rsidRPr="00360C8F" w:rsidRDefault="003E4BE1" w:rsidP="003E4BE1">
      <w:pPr>
        <w:pBdr>
          <w:top w:val="single" w:sz="4" w:space="1" w:color="auto"/>
          <w:left w:val="single" w:sz="4" w:space="4" w:color="auto"/>
          <w:bottom w:val="single" w:sz="4" w:space="1" w:color="auto"/>
          <w:right w:val="single" w:sz="4" w:space="4" w:color="auto"/>
        </w:pBdr>
        <w:rPr>
          <w:sz w:val="20"/>
          <w:lang w:val="en-AU"/>
        </w:rPr>
      </w:pPr>
    </w:p>
    <w:p w14:paraId="2A58175E" w14:textId="77777777" w:rsidR="003E4BE1" w:rsidRPr="00360C8F" w:rsidRDefault="003E4BE1" w:rsidP="003E4BE1">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10854346" w14:textId="77777777" w:rsidR="003E4BE1" w:rsidRDefault="003E4BE1" w:rsidP="003E4BE1">
      <w:pPr>
        <w:rPr>
          <w:sz w:val="20"/>
        </w:rPr>
      </w:pPr>
    </w:p>
    <w:p w14:paraId="63728AE7" w14:textId="77777777" w:rsidR="003E4BE1" w:rsidRDefault="003E4BE1" w:rsidP="003E4BE1">
      <w:pPr>
        <w:widowControl/>
        <w:rPr>
          <w:sz w:val="20"/>
        </w:rPr>
      </w:pPr>
      <w:r>
        <w:rPr>
          <w:sz w:val="20"/>
        </w:rPr>
        <w:br w:type="page"/>
      </w:r>
    </w:p>
    <w:p w14:paraId="3C479BC8" w14:textId="77777777" w:rsidR="003E4BE1" w:rsidRPr="005F585D" w:rsidRDefault="003E4BE1" w:rsidP="003E4BE1">
      <w:pPr>
        <w:pStyle w:val="FSCDraftingitemheading"/>
      </w:pPr>
      <w:r w:rsidRPr="00D433B1">
        <w:lastRenderedPageBreak/>
        <w:t>1</w:t>
      </w:r>
      <w:r w:rsidRPr="00D433B1">
        <w:tab/>
        <w:t>Name</w:t>
      </w:r>
    </w:p>
    <w:p w14:paraId="223015A9" w14:textId="77777777" w:rsidR="003E4BE1" w:rsidRPr="00F618DF" w:rsidRDefault="003E4BE1" w:rsidP="003E4BE1">
      <w:pPr>
        <w:pStyle w:val="FSCDraftingitem"/>
      </w:pPr>
      <w:r w:rsidRPr="00DB170D">
        <w:t xml:space="preserve">This instrument is the </w:t>
      </w:r>
      <w:r w:rsidRPr="00792F7C">
        <w:rPr>
          <w:i/>
        </w:rPr>
        <w:t>Food Standards (Applicati</w:t>
      </w:r>
      <w:r>
        <w:rPr>
          <w:i/>
        </w:rPr>
        <w:t>on A1149 – Addition of Steviol Glycosides in Fruit Drinks</w:t>
      </w:r>
      <w:r w:rsidRPr="00792F7C">
        <w:rPr>
          <w:i/>
        </w:rPr>
        <w:t>) Variation</w:t>
      </w:r>
      <w:r w:rsidRPr="00F618DF">
        <w:t>.</w:t>
      </w:r>
    </w:p>
    <w:p w14:paraId="29BBAB3E" w14:textId="77777777" w:rsidR="003E4BE1" w:rsidRPr="00D433B1" w:rsidRDefault="003E4BE1" w:rsidP="003E4BE1">
      <w:pPr>
        <w:pStyle w:val="FSCDraftingitemheading"/>
      </w:pPr>
      <w:r w:rsidRPr="00D433B1">
        <w:t>2</w:t>
      </w:r>
      <w:r w:rsidRPr="00D433B1">
        <w:tab/>
        <w:t xml:space="preserve">Variation </w:t>
      </w:r>
      <w:r w:rsidRPr="00B36513">
        <w:t xml:space="preserve">to a standard in the </w:t>
      </w:r>
      <w:r w:rsidRPr="00C51355">
        <w:rPr>
          <w:i/>
        </w:rPr>
        <w:t>Australia New Zealand Food Standards Code</w:t>
      </w:r>
    </w:p>
    <w:p w14:paraId="1FA541DE" w14:textId="77777777" w:rsidR="003E4BE1" w:rsidRDefault="003E4BE1" w:rsidP="003E4BE1">
      <w:pPr>
        <w:pStyle w:val="FSCDraftingitem"/>
      </w:pPr>
      <w:r>
        <w:t xml:space="preserve">The Schedule varies </w:t>
      </w:r>
      <w:r w:rsidRPr="00B36513">
        <w:t xml:space="preserve">a Standard in </w:t>
      </w:r>
      <w:r>
        <w:t xml:space="preserve">the </w:t>
      </w:r>
      <w:r w:rsidRPr="00792F7C">
        <w:rPr>
          <w:i/>
        </w:rPr>
        <w:t>Australia New Zealand Food Standards Code</w:t>
      </w:r>
      <w:r>
        <w:t>.</w:t>
      </w:r>
    </w:p>
    <w:p w14:paraId="21DC9B0C" w14:textId="77777777" w:rsidR="003E4BE1" w:rsidRPr="00D433B1" w:rsidRDefault="003E4BE1" w:rsidP="003E4BE1">
      <w:pPr>
        <w:pStyle w:val="FSCDraftingitemheading"/>
      </w:pPr>
      <w:r w:rsidRPr="00D433B1">
        <w:t>3</w:t>
      </w:r>
      <w:r w:rsidRPr="00D433B1">
        <w:tab/>
        <w:t>Commencement</w:t>
      </w:r>
    </w:p>
    <w:p w14:paraId="2734D415" w14:textId="77777777" w:rsidR="003E4BE1" w:rsidRDefault="003E4BE1" w:rsidP="003E4BE1">
      <w:pPr>
        <w:pStyle w:val="FSCDraftingitem"/>
      </w:pPr>
      <w:r>
        <w:t>The variation commenc</w:t>
      </w:r>
      <w:r w:rsidRPr="000055C4">
        <w:t>e</w:t>
      </w:r>
      <w:r>
        <w:t>s</w:t>
      </w:r>
      <w:r w:rsidRPr="000055C4">
        <w:t xml:space="preserve"> on</w:t>
      </w:r>
      <w:r>
        <w:t xml:space="preserve"> the date of gazettal.</w:t>
      </w:r>
    </w:p>
    <w:p w14:paraId="30B8F05D" w14:textId="77777777" w:rsidR="003E4BE1" w:rsidRPr="00D433B1" w:rsidRDefault="003E4BE1" w:rsidP="003E4BE1">
      <w:pPr>
        <w:jc w:val="center"/>
        <w:rPr>
          <w:b/>
          <w:sz w:val="20"/>
        </w:rPr>
      </w:pPr>
      <w:r w:rsidRPr="00D433B1">
        <w:rPr>
          <w:b/>
          <w:sz w:val="20"/>
        </w:rPr>
        <w:t>Schedule</w:t>
      </w:r>
    </w:p>
    <w:p w14:paraId="41E9E53E" w14:textId="77777777" w:rsidR="003E4BE1" w:rsidRPr="00B36513" w:rsidRDefault="003E4BE1" w:rsidP="003E4BE1">
      <w:pPr>
        <w:pStyle w:val="FSCDraftingitem"/>
      </w:pPr>
      <w:r w:rsidRPr="00DA14FC">
        <w:rPr>
          <w:b/>
          <w:lang w:bidi="en-US"/>
        </w:rPr>
        <w:t>[1]</w:t>
      </w:r>
      <w:r w:rsidRPr="00DA14FC">
        <w:rPr>
          <w:b/>
          <w:lang w:bidi="en-US"/>
        </w:rPr>
        <w:tab/>
      </w:r>
      <w:r w:rsidRPr="00B36513">
        <w:rPr>
          <w:b/>
          <w:lang w:bidi="en-US"/>
        </w:rPr>
        <w:t>Schedule 15</w:t>
      </w:r>
      <w:r w:rsidRPr="00B36513">
        <w:rPr>
          <w:lang w:bidi="en-US"/>
        </w:rPr>
        <w:t xml:space="preserve"> is varied by</w:t>
      </w:r>
      <w:r w:rsidRPr="00B36513">
        <w:t xml:space="preserve"> inserting in item 14.1.2.2.1 of the table to subsection S15</w:t>
      </w:r>
      <w:r>
        <w:t>—</w:t>
      </w:r>
      <w:r w:rsidRPr="00B36513">
        <w:t>5</w:t>
      </w:r>
      <w:r>
        <w:t>, after the entry for ‘</w:t>
      </w:r>
      <w:r w:rsidRPr="00486424">
        <w:t>Dioctyl sodium sulphosuccinate</w:t>
      </w:r>
      <w:r>
        <w:t>’</w:t>
      </w:r>
      <w:r w:rsidRPr="00B36513">
        <w:rPr>
          <w:b/>
        </w:rPr>
        <w:t xml:space="preserve">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3E4BE1" w:rsidRPr="00D214AE" w14:paraId="14627795" w14:textId="77777777" w:rsidTr="00251EA8">
        <w:trPr>
          <w:cantSplit/>
        </w:trPr>
        <w:tc>
          <w:tcPr>
            <w:tcW w:w="1668" w:type="dxa"/>
          </w:tcPr>
          <w:p w14:paraId="450C63F9" w14:textId="77777777" w:rsidR="003E4BE1" w:rsidRPr="00641E72" w:rsidRDefault="003E4BE1" w:rsidP="00251EA8">
            <w:pPr>
              <w:pStyle w:val="FSCtblAdd1"/>
            </w:pPr>
            <w:r w:rsidRPr="00641E72">
              <w:t>960</w:t>
            </w:r>
          </w:p>
        </w:tc>
        <w:tc>
          <w:tcPr>
            <w:tcW w:w="4252" w:type="dxa"/>
          </w:tcPr>
          <w:p w14:paraId="0764293E" w14:textId="77777777" w:rsidR="003E4BE1" w:rsidRPr="00641E72" w:rsidRDefault="003E4BE1" w:rsidP="00251EA8">
            <w:pPr>
              <w:pStyle w:val="FSCtblAdd1"/>
            </w:pPr>
            <w:r w:rsidRPr="00641E72">
              <w:t>Steviol glycosides</w:t>
            </w:r>
          </w:p>
        </w:tc>
        <w:tc>
          <w:tcPr>
            <w:tcW w:w="992" w:type="dxa"/>
          </w:tcPr>
          <w:p w14:paraId="288EE493" w14:textId="77777777" w:rsidR="003E4BE1" w:rsidRPr="00641E72" w:rsidRDefault="003E4BE1" w:rsidP="00251EA8">
            <w:pPr>
              <w:pStyle w:val="FSCtblAdd2"/>
            </w:pPr>
            <w:r>
              <w:t>200</w:t>
            </w:r>
          </w:p>
        </w:tc>
        <w:tc>
          <w:tcPr>
            <w:tcW w:w="2160" w:type="dxa"/>
          </w:tcPr>
          <w:p w14:paraId="0CE3A5F6" w14:textId="77777777" w:rsidR="003E4BE1" w:rsidRPr="00D214AE" w:rsidRDefault="003E4BE1" w:rsidP="00251EA8">
            <w:pPr>
              <w:pStyle w:val="FSCtblAdd1"/>
            </w:pPr>
          </w:p>
        </w:tc>
      </w:tr>
    </w:tbl>
    <w:p w14:paraId="20923EDC" w14:textId="77777777" w:rsidR="003E4BE1" w:rsidRDefault="003E4BE1" w:rsidP="003E4BE1">
      <w:pPr>
        <w:pStyle w:val="FSCDraftingitem"/>
      </w:pPr>
    </w:p>
    <w:p w14:paraId="19978A3E" w14:textId="77777777" w:rsidR="00AF06FC" w:rsidRDefault="00AB0275" w:rsidP="00AB0275">
      <w:pPr>
        <w:rPr>
          <w:lang w:val="en-AU" w:eastAsia="en-GB" w:bidi="ar-SA"/>
        </w:rPr>
      </w:pPr>
      <w:r w:rsidRPr="00932F14">
        <w:br w:type="page"/>
      </w:r>
    </w:p>
    <w:p w14:paraId="659F2E4F" w14:textId="77777777" w:rsidR="00AB0275" w:rsidRDefault="002C4A91" w:rsidP="00AB0275">
      <w:pPr>
        <w:pStyle w:val="Heading2"/>
        <w:ind w:left="0" w:firstLine="0"/>
      </w:pPr>
      <w:bookmarkStart w:id="138" w:name="_Toc524356805"/>
      <w:bookmarkStart w:id="139" w:name="_Toc526338071"/>
      <w:r w:rsidRPr="00932F14">
        <w:lastRenderedPageBreak/>
        <w:t xml:space="preserve">Attachment </w:t>
      </w:r>
      <w:r>
        <w:t xml:space="preserve">B – </w:t>
      </w:r>
      <w:r w:rsidR="00AB0275">
        <w:t>Draft Explanatory Statement</w:t>
      </w:r>
      <w:bookmarkEnd w:id="138"/>
      <w:bookmarkEnd w:id="139"/>
    </w:p>
    <w:p w14:paraId="26C078F9"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40EDADFE" w14:textId="77777777" w:rsidR="00AB0275" w:rsidRDefault="00AB0275" w:rsidP="00AB0275">
      <w:pPr>
        <w:rPr>
          <w:lang w:val="en-AU" w:eastAsia="en-GB" w:bidi="ar-SA"/>
        </w:rPr>
      </w:pPr>
    </w:p>
    <w:p w14:paraId="7938B253"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F1E1E2E" w14:textId="77777777" w:rsidR="00AB0275" w:rsidRPr="00D13E34" w:rsidRDefault="00AB0275" w:rsidP="00AB0275">
      <w:pPr>
        <w:widowControl/>
        <w:autoSpaceDE w:val="0"/>
        <w:autoSpaceDN w:val="0"/>
        <w:adjustRightInd w:val="0"/>
        <w:rPr>
          <w:rFonts w:eastAsia="Calibri" w:cs="Arial"/>
          <w:bCs/>
          <w:szCs w:val="22"/>
          <w:lang w:val="en-AU" w:bidi="ar-SA"/>
        </w:rPr>
      </w:pPr>
    </w:p>
    <w:p w14:paraId="1178804A" w14:textId="77777777" w:rsidR="00AB0275" w:rsidRPr="001B4433" w:rsidRDefault="00AB0275" w:rsidP="00AB0275">
      <w:pPr>
        <w:widowControl/>
        <w:autoSpaceDE w:val="0"/>
        <w:autoSpaceDN w:val="0"/>
        <w:adjustRightInd w:val="0"/>
        <w:rPr>
          <w:rFonts w:eastAsia="Calibri" w:cs="Arial"/>
          <w:bCs/>
          <w:szCs w:val="22"/>
          <w:lang w:val="en-AU" w:bidi="ar-SA"/>
        </w:rPr>
      </w:pPr>
      <w:r w:rsidRPr="001B4433">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6DE457D" w14:textId="77777777" w:rsidR="00AB0275" w:rsidRPr="001B4433" w:rsidRDefault="00AB0275" w:rsidP="00AB0275">
      <w:pPr>
        <w:widowControl/>
        <w:autoSpaceDE w:val="0"/>
        <w:autoSpaceDN w:val="0"/>
        <w:adjustRightInd w:val="0"/>
        <w:rPr>
          <w:rFonts w:eastAsia="Calibri" w:cs="Arial"/>
          <w:bCs/>
          <w:szCs w:val="22"/>
          <w:lang w:val="en-AU" w:bidi="ar-SA"/>
        </w:rPr>
      </w:pPr>
    </w:p>
    <w:p w14:paraId="281CA580" w14:textId="4B5CC9E2" w:rsidR="00AB0275" w:rsidRPr="001B4433" w:rsidRDefault="00BF0B54" w:rsidP="00AB0275">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1B4433">
        <w:rPr>
          <w:rFonts w:eastAsia="Calibri" w:cs="Arial"/>
          <w:bCs/>
          <w:szCs w:val="22"/>
          <w:lang w:val="en-AU" w:bidi="ar-SA"/>
        </w:rPr>
        <w:t xml:space="preserve"> </w:t>
      </w:r>
      <w:r w:rsidR="00AB0275" w:rsidRPr="001B4433">
        <w:rPr>
          <w:rFonts w:eastAsia="Calibri" w:cs="Arial"/>
          <w:bCs/>
          <w:szCs w:val="22"/>
          <w:lang w:val="en-AU" w:bidi="ar-SA"/>
        </w:rPr>
        <w:t xml:space="preserve">accepted </w:t>
      </w:r>
      <w:r w:rsidR="009606B6">
        <w:rPr>
          <w:rFonts w:eastAsia="Calibri" w:cs="Arial"/>
          <w:bCs/>
          <w:szCs w:val="22"/>
          <w:lang w:val="en-AU" w:bidi="ar-SA"/>
        </w:rPr>
        <w:t>a</w:t>
      </w:r>
      <w:r w:rsidR="00AB0275" w:rsidRPr="001B4433">
        <w:rPr>
          <w:rFonts w:eastAsia="Calibri" w:cs="Arial"/>
          <w:bCs/>
          <w:szCs w:val="22"/>
          <w:lang w:val="en-AU" w:bidi="ar-SA"/>
        </w:rPr>
        <w:t xml:space="preserve">pplication </w:t>
      </w:r>
      <w:r w:rsidR="001B4433" w:rsidRPr="001B4433">
        <w:rPr>
          <w:rFonts w:eastAsia="Calibri" w:cs="Arial"/>
          <w:bCs/>
          <w:szCs w:val="22"/>
          <w:lang w:val="en-AU" w:bidi="ar-SA"/>
        </w:rPr>
        <w:t xml:space="preserve">A1149 </w:t>
      </w:r>
      <w:r w:rsidR="00AB0275" w:rsidRPr="001B4433">
        <w:rPr>
          <w:rFonts w:eastAsia="Calibri" w:cs="Arial"/>
          <w:bCs/>
          <w:szCs w:val="22"/>
          <w:lang w:val="en-AU" w:bidi="ar-SA"/>
        </w:rPr>
        <w:t xml:space="preserve">which seeks to </w:t>
      </w:r>
      <w:r w:rsidR="001B4433" w:rsidRPr="001B4433">
        <w:rPr>
          <w:rFonts w:eastAsia="Calibri" w:cs="Arial"/>
          <w:bCs/>
          <w:szCs w:val="22"/>
          <w:lang w:val="en-AU" w:bidi="ar-SA"/>
        </w:rPr>
        <w:t>permit the use of steviol glycosides as a food additive – intense sweetener in fruit drinks</w:t>
      </w:r>
      <w:r w:rsidR="00AB0275" w:rsidRPr="001B4433">
        <w:rPr>
          <w:rFonts w:eastAsia="Calibri" w:cs="Arial"/>
          <w:bCs/>
          <w:szCs w:val="22"/>
          <w:lang w:val="en-AU" w:bidi="ar-SA"/>
        </w:rPr>
        <w:t xml:space="preserve">. The Authority considered the </w:t>
      </w:r>
      <w:r w:rsidR="001B4433" w:rsidRPr="001B4433">
        <w:rPr>
          <w:rFonts w:eastAsia="Calibri" w:cs="Arial"/>
          <w:bCs/>
          <w:szCs w:val="22"/>
          <w:lang w:val="en-AU" w:bidi="ar-SA"/>
        </w:rPr>
        <w:t>a</w:t>
      </w:r>
      <w:r w:rsidR="00AB0275" w:rsidRPr="001B4433">
        <w:rPr>
          <w:rFonts w:eastAsia="Calibri" w:cs="Arial"/>
          <w:bCs/>
          <w:szCs w:val="22"/>
          <w:lang w:val="en-AU" w:bidi="ar-SA"/>
        </w:rPr>
        <w:t xml:space="preserve">pplication in accordance with Division 1 of Part 3 and has </w:t>
      </w:r>
      <w:r w:rsidR="00CA3C65" w:rsidRPr="001B4433">
        <w:rPr>
          <w:rFonts w:eastAsia="Calibri" w:cs="Arial"/>
          <w:bCs/>
          <w:szCs w:val="22"/>
          <w:lang w:val="en-AU" w:bidi="ar-SA"/>
        </w:rPr>
        <w:t>prepared</w:t>
      </w:r>
      <w:r w:rsidR="00AB0275" w:rsidRPr="001B4433">
        <w:rPr>
          <w:rFonts w:eastAsia="Calibri" w:cs="Arial"/>
          <w:bCs/>
          <w:szCs w:val="22"/>
          <w:lang w:val="en-AU" w:bidi="ar-SA"/>
        </w:rPr>
        <w:t xml:space="preserve"> a draft </w:t>
      </w:r>
      <w:r w:rsidR="00D64DE4">
        <w:rPr>
          <w:rFonts w:eastAsia="Calibri" w:cs="Arial"/>
          <w:bCs/>
          <w:szCs w:val="22"/>
          <w:lang w:val="en-AU" w:bidi="ar-SA"/>
        </w:rPr>
        <w:t>variation</w:t>
      </w:r>
      <w:r w:rsidR="00AB0275" w:rsidRPr="001B4433">
        <w:rPr>
          <w:rFonts w:eastAsia="Calibri" w:cs="Arial"/>
          <w:bCs/>
          <w:szCs w:val="22"/>
          <w:lang w:val="en-AU" w:bidi="ar-SA"/>
        </w:rPr>
        <w:t xml:space="preserve">. </w:t>
      </w:r>
    </w:p>
    <w:p w14:paraId="5FB67D0B" w14:textId="431755A7" w:rsidR="00AB0275" w:rsidRPr="00D13E34" w:rsidRDefault="00AB0275" w:rsidP="00AB0275">
      <w:pPr>
        <w:widowControl/>
        <w:autoSpaceDE w:val="0"/>
        <w:autoSpaceDN w:val="0"/>
        <w:adjustRightInd w:val="0"/>
        <w:rPr>
          <w:rFonts w:eastAsia="Calibri" w:cs="Arial"/>
          <w:bCs/>
          <w:szCs w:val="22"/>
          <w:lang w:val="en-AU" w:bidi="ar-SA"/>
        </w:rPr>
      </w:pPr>
    </w:p>
    <w:p w14:paraId="76E7F6FE"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3BFB72F9" w14:textId="77777777" w:rsidR="00AB0275" w:rsidRDefault="00AB0275" w:rsidP="00AB0275">
      <w:pPr>
        <w:rPr>
          <w:lang w:val="en-AU" w:eastAsia="en-GB" w:bidi="ar-SA"/>
        </w:rPr>
      </w:pPr>
    </w:p>
    <w:p w14:paraId="3876884F" w14:textId="3A0738FC" w:rsidR="00AB0275" w:rsidRDefault="00AB0275" w:rsidP="00AB0275">
      <w:pPr>
        <w:rPr>
          <w:lang w:val="en-AU" w:eastAsia="en-GB" w:bidi="ar-SA"/>
        </w:rPr>
      </w:pPr>
      <w:r>
        <w:rPr>
          <w:lang w:val="en-AU" w:eastAsia="en-GB" w:bidi="ar-SA"/>
        </w:rPr>
        <w:t xml:space="preserve">The Authority has </w:t>
      </w:r>
      <w:r w:rsidR="00CA3C65" w:rsidRPr="001B4433">
        <w:rPr>
          <w:lang w:val="en-AU" w:eastAsia="en-GB" w:bidi="ar-SA"/>
        </w:rPr>
        <w:t>prepar</w:t>
      </w:r>
      <w:r w:rsidRPr="001B4433">
        <w:rPr>
          <w:lang w:val="en-AU" w:eastAsia="en-GB" w:bidi="ar-SA"/>
        </w:rPr>
        <w:t>ed</w:t>
      </w:r>
      <w:r w:rsidR="001B4433">
        <w:rPr>
          <w:lang w:val="en-AU" w:eastAsia="en-GB" w:bidi="ar-SA"/>
        </w:rPr>
        <w:t xml:space="preserve"> </w:t>
      </w:r>
      <w:r w:rsidR="001B4433" w:rsidRPr="001B4433">
        <w:rPr>
          <w:lang w:val="en-AU" w:eastAsia="en-GB" w:bidi="ar-SA"/>
        </w:rPr>
        <w:t>a draft variation to the Code to permit steviol glycosides</w:t>
      </w:r>
      <w:r w:rsidR="001B4433">
        <w:rPr>
          <w:lang w:val="en-AU" w:eastAsia="en-GB" w:bidi="ar-SA"/>
        </w:rPr>
        <w:t xml:space="preserve"> as a food additive – intense sweetener at a maximum permitted level of 200 mg/</w:t>
      </w:r>
      <w:r w:rsidR="00277FE8">
        <w:rPr>
          <w:lang w:val="en-AU" w:eastAsia="en-GB" w:bidi="ar-SA"/>
        </w:rPr>
        <w:t>k</w:t>
      </w:r>
      <w:r w:rsidR="001B4433">
        <w:rPr>
          <w:lang w:val="en-AU" w:eastAsia="en-GB" w:bidi="ar-SA"/>
        </w:rPr>
        <w:t>g steviol equivalents in fruit drinks.</w:t>
      </w:r>
      <w:r w:rsidR="001B4433" w:rsidRPr="001B4433">
        <w:rPr>
          <w:lang w:val="en-AU" w:eastAsia="en-GB" w:bidi="ar-SA"/>
        </w:rPr>
        <w:t xml:space="preserve"> </w:t>
      </w:r>
    </w:p>
    <w:p w14:paraId="36580DF9" w14:textId="77777777" w:rsidR="00AB0275" w:rsidRDefault="00AB0275" w:rsidP="00AB0275">
      <w:pPr>
        <w:rPr>
          <w:lang w:val="en-AU" w:eastAsia="en-GB" w:bidi="ar-SA"/>
        </w:rPr>
      </w:pPr>
    </w:p>
    <w:p w14:paraId="6B1CEA0A"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4F4B60A4" w14:textId="77777777" w:rsidR="00AB0275" w:rsidRDefault="00AB0275" w:rsidP="00AB0275">
      <w:pPr>
        <w:rPr>
          <w:lang w:val="en-AU" w:eastAsia="en-GB" w:bidi="ar-SA"/>
        </w:rPr>
      </w:pPr>
    </w:p>
    <w:p w14:paraId="19C759B5"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FC93E56" w14:textId="77777777" w:rsidR="00AB0275" w:rsidRDefault="00AB0275" w:rsidP="00AB0275">
      <w:pPr>
        <w:rPr>
          <w:lang w:val="en-AU" w:eastAsia="en-GB" w:bidi="ar-SA"/>
        </w:rPr>
      </w:pPr>
    </w:p>
    <w:p w14:paraId="36692AF5"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7BA1B7F1" w14:textId="77777777" w:rsidR="00AB0275" w:rsidRDefault="00AB0275" w:rsidP="00AB0275">
      <w:pPr>
        <w:rPr>
          <w:lang w:val="en-AU" w:eastAsia="en-GB" w:bidi="ar-SA"/>
        </w:rPr>
      </w:pPr>
    </w:p>
    <w:p w14:paraId="50B25F21" w14:textId="1973A2ED" w:rsidR="00AB0275" w:rsidRDefault="00AB0275" w:rsidP="009606B6">
      <w:pPr>
        <w:widowControl/>
        <w:autoSpaceDE w:val="0"/>
        <w:autoSpaceDN w:val="0"/>
        <w:adjustRightInd w:val="0"/>
        <w:rPr>
          <w:rFonts w:eastAsia="Calibri"/>
          <w:lang w:val="en-AU" w:bidi="ar-SA"/>
        </w:rPr>
      </w:pPr>
      <w:r w:rsidRPr="00F634A1">
        <w:t xml:space="preserve">In accordance with the procedure in Division </w:t>
      </w:r>
      <w:r w:rsidR="005837EA" w:rsidRPr="005837EA">
        <w:t xml:space="preserve">1 </w:t>
      </w:r>
      <w:r w:rsidRPr="005837EA">
        <w:t xml:space="preserve">of Part </w:t>
      </w:r>
      <w:r w:rsidR="005837EA" w:rsidRPr="005837EA">
        <w:t xml:space="preserve">3 </w:t>
      </w:r>
      <w:r w:rsidRPr="00F634A1">
        <w:t xml:space="preserve">of the FSANZ Act, </w:t>
      </w:r>
      <w:r w:rsidRPr="00F634A1">
        <w:rPr>
          <w:rFonts w:eastAsia="Calibri" w:cs="Arial"/>
          <w:bCs/>
          <w:lang w:val="en-AU" w:bidi="ar-SA"/>
        </w:rPr>
        <w:t>the Authority</w:t>
      </w:r>
      <w:r w:rsidRPr="00F634A1">
        <w:t xml:space="preserve">’s consideration of </w:t>
      </w:r>
      <w:r w:rsidR="003E4BE1" w:rsidRPr="005837EA">
        <w:t>application</w:t>
      </w:r>
      <w:r w:rsidRPr="005837EA">
        <w:t xml:space="preserve"> A</w:t>
      </w:r>
      <w:r w:rsidR="003E4BE1" w:rsidRPr="005837EA">
        <w:t>1149</w:t>
      </w:r>
      <w:r w:rsidRPr="005837EA">
        <w:t xml:space="preserve"> will include one round of public consultation following an assessment and the preparation of a draft </w:t>
      </w:r>
      <w:r w:rsidR="005837EA" w:rsidRPr="005837EA">
        <w:t xml:space="preserve">variation </w:t>
      </w:r>
      <w:r w:rsidRPr="005837EA">
        <w:t xml:space="preserve">and associated </w:t>
      </w:r>
      <w:r w:rsidR="006211CD" w:rsidRPr="005837EA">
        <w:t>assessment summary</w:t>
      </w:r>
      <w:r w:rsidR="005837EA" w:rsidRPr="005837EA">
        <w:t>.</w:t>
      </w:r>
      <w:r w:rsidR="009606B6">
        <w:rPr>
          <w:rFonts w:eastAsia="Calibri" w:cs="Arial"/>
          <w:b/>
          <w:bCs/>
          <w:color w:val="FF0000"/>
          <w:sz w:val="28"/>
          <w:szCs w:val="28"/>
          <w:lang w:val="en-AU" w:bidi="ar-SA"/>
        </w:rPr>
        <w:t xml:space="preserve"> </w:t>
      </w:r>
      <w:r w:rsidR="009606B6">
        <w:rPr>
          <w:rFonts w:eastAsia="Calibri"/>
          <w:lang w:val="en-AU" w:bidi="ar-SA"/>
        </w:rPr>
        <w:t>A Regulation Impact Statement was not required because the proposed variation to Schedule 15 is likely to have a minor impact on business and individuals and its use as a food additive is voluntary.</w:t>
      </w:r>
    </w:p>
    <w:p w14:paraId="043E2655" w14:textId="77777777" w:rsidR="009606B6" w:rsidRDefault="009606B6" w:rsidP="009606B6">
      <w:pPr>
        <w:widowControl/>
        <w:autoSpaceDE w:val="0"/>
        <w:autoSpaceDN w:val="0"/>
        <w:adjustRightInd w:val="0"/>
        <w:rPr>
          <w:rFonts w:eastAsiaTheme="minorHAnsi" w:cs="Arial"/>
          <w:b/>
          <w:bCs/>
          <w:szCs w:val="22"/>
          <w:lang w:val="en-AU" w:bidi="ar-SA"/>
        </w:rPr>
      </w:pPr>
    </w:p>
    <w:p w14:paraId="65F84E87"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1E96D35" w14:textId="77777777" w:rsidR="00AB0275" w:rsidRDefault="00AB0275" w:rsidP="00AB0275">
      <w:pPr>
        <w:rPr>
          <w:rFonts w:eastAsiaTheme="minorHAnsi"/>
          <w:lang w:val="en-AU" w:bidi="ar-SA"/>
        </w:rPr>
      </w:pPr>
    </w:p>
    <w:p w14:paraId="730F4DC3"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2D2724EF" w14:textId="77777777" w:rsidR="00AB0275" w:rsidRDefault="00AB0275" w:rsidP="00AB0275">
      <w:pPr>
        <w:rPr>
          <w:rFonts w:eastAsiaTheme="minorHAnsi"/>
          <w:lang w:val="en-AU" w:bidi="ar-SA"/>
        </w:rPr>
      </w:pPr>
    </w:p>
    <w:p w14:paraId="51C0AF61"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24C4DEA6" w14:textId="77777777" w:rsidR="00251EA8" w:rsidRDefault="00251EA8" w:rsidP="00AB0275">
      <w:pPr>
        <w:rPr>
          <w:color w:val="FF0000"/>
        </w:rPr>
      </w:pPr>
    </w:p>
    <w:p w14:paraId="16F402C6" w14:textId="44D868CB" w:rsidR="00910E3A" w:rsidRDefault="009606B6" w:rsidP="00225435">
      <w:r w:rsidRPr="009606B6">
        <w:t>Item [1] amends Schedule 15 by inserting</w:t>
      </w:r>
      <w:r>
        <w:t xml:space="preserve"> </w:t>
      </w:r>
      <w:r w:rsidRPr="009606B6">
        <w:t xml:space="preserve">item </w:t>
      </w:r>
      <w:r w:rsidRPr="00B36513">
        <w:t>14.1.2.2.1 of the table to section S15</w:t>
      </w:r>
      <w:r>
        <w:t>—</w:t>
      </w:r>
      <w:r w:rsidRPr="00B36513">
        <w:t>5</w:t>
      </w:r>
      <w:r>
        <w:t xml:space="preserve"> an entry for steviol glycosides with a maximum permitted level of 200 mg/</w:t>
      </w:r>
      <w:r w:rsidR="000C1869">
        <w:t xml:space="preserve">kg </w:t>
      </w:r>
      <w:r w:rsidR="00160F9D">
        <w:t>steviol equivalents</w:t>
      </w:r>
      <w:r>
        <w:t>. The effect of this amendment will be to permit</w:t>
      </w:r>
      <w:r w:rsidR="00BF0B54">
        <w:t>,</w:t>
      </w:r>
      <w:r>
        <w:t xml:space="preserve"> for the purposes of Standard</w:t>
      </w:r>
      <w:r w:rsidR="00BF0B54">
        <w:t>s 1.1.1 and</w:t>
      </w:r>
      <w:r>
        <w:t xml:space="preserve"> 1.3.1, the use </w:t>
      </w:r>
      <w:r w:rsidR="00BF0B54">
        <w:t xml:space="preserve">in fruit drink </w:t>
      </w:r>
      <w:r>
        <w:t xml:space="preserve">of steviol glycosides subject to a maximum permitted level of </w:t>
      </w:r>
      <w:r w:rsidR="00EE579E">
        <w:t>2</w:t>
      </w:r>
      <w:r w:rsidRPr="00277FE8">
        <w:t xml:space="preserve">00 </w:t>
      </w:r>
      <w:r w:rsidR="00EB2D06" w:rsidRPr="00277FE8">
        <w:t>mg/</w:t>
      </w:r>
      <w:r w:rsidR="00277FE8" w:rsidRPr="00277FE8">
        <w:t>kg</w:t>
      </w:r>
      <w:r w:rsidR="00160F9D">
        <w:t xml:space="preserve"> steviol equivalents</w:t>
      </w:r>
      <w:r w:rsidR="00EB2D06" w:rsidRPr="00277FE8">
        <w:t xml:space="preserve">. </w:t>
      </w:r>
      <w:bookmarkStart w:id="140" w:name="_Toc523922026"/>
      <w:bookmarkStart w:id="141" w:name="_Toc524356806"/>
      <w:bookmarkStart w:id="142" w:name="_Toc523922027"/>
      <w:bookmarkStart w:id="143" w:name="_Toc524356807"/>
      <w:bookmarkEnd w:id="140"/>
      <w:bookmarkEnd w:id="141"/>
      <w:bookmarkEnd w:id="142"/>
      <w:bookmarkEnd w:id="143"/>
    </w:p>
    <w:sectPr w:rsidR="00910E3A" w:rsidSect="00CC36E7">
      <w:footerReference w:type="even" r:id="rId32"/>
      <w:footerReference w:type="default" r:id="rId33"/>
      <w:headerReference w:type="first" r:id="rId34"/>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133FE" w14:textId="77777777" w:rsidR="0045439F" w:rsidRDefault="0045439F">
      <w:r>
        <w:separator/>
      </w:r>
    </w:p>
  </w:endnote>
  <w:endnote w:type="continuationSeparator" w:id="0">
    <w:p w14:paraId="122BE88B" w14:textId="77777777" w:rsidR="0045439F" w:rsidRDefault="0045439F">
      <w:r>
        <w:continuationSeparator/>
      </w:r>
    </w:p>
  </w:endnote>
  <w:endnote w:type="continuationNotice" w:id="1">
    <w:p w14:paraId="36BB3A2C" w14:textId="77777777" w:rsidR="0045439F" w:rsidRDefault="00454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8B25B" w14:textId="1C3E7C78" w:rsidR="0045439F" w:rsidRDefault="0045439F" w:rsidP="003C1A53">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4FDF136A" w14:textId="77777777" w:rsidR="0045439F" w:rsidRDefault="0045439F" w:rsidP="00454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DE88" w14:textId="2CD36B09" w:rsidR="0045439F" w:rsidRDefault="0045439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4349">
      <w:rPr>
        <w:rStyle w:val="PageNumber"/>
        <w:noProof/>
      </w:rPr>
      <w:t>1</w:t>
    </w:r>
    <w:r>
      <w:rPr>
        <w:rStyle w:val="PageNumber"/>
      </w:rPr>
      <w:fldChar w:fldCharType="end"/>
    </w:r>
  </w:p>
  <w:p w14:paraId="7DFBEC42" w14:textId="77777777" w:rsidR="0045439F" w:rsidRDefault="0045439F" w:rsidP="0045439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1BCC6" w14:textId="77777777" w:rsidR="0045439F" w:rsidRDefault="0045439F">
      <w:r>
        <w:separator/>
      </w:r>
    </w:p>
  </w:footnote>
  <w:footnote w:type="continuationSeparator" w:id="0">
    <w:p w14:paraId="169D0E46" w14:textId="77777777" w:rsidR="0045439F" w:rsidRDefault="0045439F">
      <w:r>
        <w:continuationSeparator/>
      </w:r>
    </w:p>
  </w:footnote>
  <w:footnote w:type="continuationNotice" w:id="1">
    <w:p w14:paraId="09D24A6C" w14:textId="77777777" w:rsidR="0045439F" w:rsidRDefault="0045439F"/>
  </w:footnote>
  <w:footnote w:id="2">
    <w:p w14:paraId="7B9D98FC" w14:textId="697DC462" w:rsidR="0045439F" w:rsidRPr="0010523F" w:rsidRDefault="0045439F">
      <w:pPr>
        <w:pStyle w:val="FootnoteText"/>
        <w:rPr>
          <w:lang w:val="en-AU"/>
        </w:rPr>
      </w:pPr>
      <w:r>
        <w:rPr>
          <w:rStyle w:val="FootnoteReference"/>
        </w:rPr>
        <w:footnoteRef/>
      </w:r>
      <w:r>
        <w:t xml:space="preserve"> The concentration of </w:t>
      </w:r>
      <w:r>
        <w:rPr>
          <w:lang w:val="en-AU"/>
        </w:rPr>
        <w:t xml:space="preserve">steviol glycosides when added to foods is expressed as steviol equivalents. To calculate this, </w:t>
      </w:r>
      <w:r>
        <w:rPr>
          <w:lang w:eastAsia="en-AU" w:bidi="ar-SA"/>
        </w:rPr>
        <w:t>subsection 1.3.1</w:t>
      </w:r>
      <w:r>
        <w:t>—</w:t>
      </w:r>
      <w:r>
        <w:rPr>
          <w:lang w:eastAsia="en-AU" w:bidi="ar-SA"/>
        </w:rPr>
        <w:t xml:space="preserve">4(7) in </w:t>
      </w:r>
      <w:r>
        <w:rPr>
          <w:lang w:val="en-AU"/>
        </w:rPr>
        <w:t xml:space="preserve">the Code contains a formula and conversion factor to determine this. </w:t>
      </w:r>
    </w:p>
  </w:footnote>
  <w:footnote w:id="3">
    <w:p w14:paraId="40B80FCB" w14:textId="77777777" w:rsidR="0045439F" w:rsidRPr="006115C5" w:rsidRDefault="0045439F" w:rsidP="00DD20E6">
      <w:pPr>
        <w:pStyle w:val="FootnoteText"/>
        <w:rPr>
          <w:lang w:val="en-AU"/>
        </w:rPr>
      </w:pPr>
      <w:r w:rsidRPr="00DA2754">
        <w:rPr>
          <w:rStyle w:val="FootnoteReference"/>
          <w:sz w:val="18"/>
          <w:szCs w:val="18"/>
        </w:rPr>
        <w:footnoteRef/>
      </w:r>
      <w:r w:rsidRPr="00DA2754">
        <w:rPr>
          <w:sz w:val="18"/>
          <w:szCs w:val="18"/>
        </w:rPr>
        <w:t xml:space="preserve"> </w:t>
      </w:r>
      <w:hyperlink r:id="rId1" w:history="1">
        <w:r w:rsidRPr="00B568A5">
          <w:rPr>
            <w:rStyle w:val="Hyperlink"/>
            <w:sz w:val="18"/>
            <w:szCs w:val="18"/>
          </w:rPr>
          <w:t>http://foodregulation.gov.au/internet/fr/publishing.nsf/Content/publication-Policy-Guideline-on-the-Addition-of-Substances-other-than-Vitamins-and-Minerals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A144" w14:textId="02748C6E" w:rsidR="0045439F" w:rsidRDefault="0045439F">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7C3B6D"/>
    <w:multiLevelType w:val="hybridMultilevel"/>
    <w:tmpl w:val="2146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5"/>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274"/>
    <w:rsid w:val="0000469B"/>
    <w:rsid w:val="00011429"/>
    <w:rsid w:val="00016CB6"/>
    <w:rsid w:val="00022DBC"/>
    <w:rsid w:val="00031E36"/>
    <w:rsid w:val="00034871"/>
    <w:rsid w:val="00034F87"/>
    <w:rsid w:val="00035FF3"/>
    <w:rsid w:val="000427B2"/>
    <w:rsid w:val="00044790"/>
    <w:rsid w:val="00047ED0"/>
    <w:rsid w:val="00051021"/>
    <w:rsid w:val="0005154A"/>
    <w:rsid w:val="00051ED9"/>
    <w:rsid w:val="0005254E"/>
    <w:rsid w:val="00053A9D"/>
    <w:rsid w:val="0005497B"/>
    <w:rsid w:val="000564DE"/>
    <w:rsid w:val="00057181"/>
    <w:rsid w:val="00064B2D"/>
    <w:rsid w:val="00065F1F"/>
    <w:rsid w:val="00067E7F"/>
    <w:rsid w:val="000735FD"/>
    <w:rsid w:val="0007466A"/>
    <w:rsid w:val="00076D33"/>
    <w:rsid w:val="000778D6"/>
    <w:rsid w:val="00082B77"/>
    <w:rsid w:val="000830FB"/>
    <w:rsid w:val="000877DD"/>
    <w:rsid w:val="00091CC2"/>
    <w:rsid w:val="00097148"/>
    <w:rsid w:val="000A27E9"/>
    <w:rsid w:val="000A3D8B"/>
    <w:rsid w:val="000A5DF8"/>
    <w:rsid w:val="000B1383"/>
    <w:rsid w:val="000B5B80"/>
    <w:rsid w:val="000B6AF2"/>
    <w:rsid w:val="000B7C39"/>
    <w:rsid w:val="000C0453"/>
    <w:rsid w:val="000C1869"/>
    <w:rsid w:val="000C2B6E"/>
    <w:rsid w:val="000C31F3"/>
    <w:rsid w:val="000C327E"/>
    <w:rsid w:val="000C412C"/>
    <w:rsid w:val="000D295F"/>
    <w:rsid w:val="000D2D54"/>
    <w:rsid w:val="000D3142"/>
    <w:rsid w:val="000D6FD4"/>
    <w:rsid w:val="000E0AE4"/>
    <w:rsid w:val="000E3DBC"/>
    <w:rsid w:val="000F2F47"/>
    <w:rsid w:val="0010523F"/>
    <w:rsid w:val="00113CE3"/>
    <w:rsid w:val="001174EC"/>
    <w:rsid w:val="00117522"/>
    <w:rsid w:val="001452A7"/>
    <w:rsid w:val="00147A12"/>
    <w:rsid w:val="00150432"/>
    <w:rsid w:val="00151550"/>
    <w:rsid w:val="00153889"/>
    <w:rsid w:val="001542D8"/>
    <w:rsid w:val="00160F9D"/>
    <w:rsid w:val="001755D3"/>
    <w:rsid w:val="0018076C"/>
    <w:rsid w:val="00180C41"/>
    <w:rsid w:val="00182C4C"/>
    <w:rsid w:val="001833D3"/>
    <w:rsid w:val="00186BD1"/>
    <w:rsid w:val="00190BC9"/>
    <w:rsid w:val="00195254"/>
    <w:rsid w:val="00197D8D"/>
    <w:rsid w:val="001A1A75"/>
    <w:rsid w:val="001A7E9A"/>
    <w:rsid w:val="001B171F"/>
    <w:rsid w:val="001B4433"/>
    <w:rsid w:val="001B4E55"/>
    <w:rsid w:val="001C27A3"/>
    <w:rsid w:val="001C282C"/>
    <w:rsid w:val="001C3D2F"/>
    <w:rsid w:val="001C5295"/>
    <w:rsid w:val="001E09FA"/>
    <w:rsid w:val="001F3A8D"/>
    <w:rsid w:val="001F5B9C"/>
    <w:rsid w:val="001F6652"/>
    <w:rsid w:val="001F719F"/>
    <w:rsid w:val="001F74B2"/>
    <w:rsid w:val="00203540"/>
    <w:rsid w:val="00214AEE"/>
    <w:rsid w:val="00221D07"/>
    <w:rsid w:val="002227E8"/>
    <w:rsid w:val="00225435"/>
    <w:rsid w:val="00227E4A"/>
    <w:rsid w:val="00231960"/>
    <w:rsid w:val="00233395"/>
    <w:rsid w:val="002432EE"/>
    <w:rsid w:val="0024582E"/>
    <w:rsid w:val="00245EB3"/>
    <w:rsid w:val="00251EA8"/>
    <w:rsid w:val="00253D88"/>
    <w:rsid w:val="002547EF"/>
    <w:rsid w:val="00255C4C"/>
    <w:rsid w:val="00255C59"/>
    <w:rsid w:val="00256D65"/>
    <w:rsid w:val="00271F00"/>
    <w:rsid w:val="00273A80"/>
    <w:rsid w:val="0027513D"/>
    <w:rsid w:val="00276026"/>
    <w:rsid w:val="00277FE8"/>
    <w:rsid w:val="00282D74"/>
    <w:rsid w:val="002851C8"/>
    <w:rsid w:val="0029204E"/>
    <w:rsid w:val="00294BAD"/>
    <w:rsid w:val="0029631C"/>
    <w:rsid w:val="002A0194"/>
    <w:rsid w:val="002A5F8B"/>
    <w:rsid w:val="002A7F6C"/>
    <w:rsid w:val="002B0D8E"/>
    <w:rsid w:val="002C4A91"/>
    <w:rsid w:val="002C5FEF"/>
    <w:rsid w:val="002D6809"/>
    <w:rsid w:val="002E086A"/>
    <w:rsid w:val="002F2B72"/>
    <w:rsid w:val="002F6488"/>
    <w:rsid w:val="00302121"/>
    <w:rsid w:val="0030279C"/>
    <w:rsid w:val="00310E84"/>
    <w:rsid w:val="00315A71"/>
    <w:rsid w:val="003213F9"/>
    <w:rsid w:val="00323DBF"/>
    <w:rsid w:val="00324AF7"/>
    <w:rsid w:val="003262D9"/>
    <w:rsid w:val="00326F26"/>
    <w:rsid w:val="00330631"/>
    <w:rsid w:val="003309A8"/>
    <w:rsid w:val="00332B12"/>
    <w:rsid w:val="0033470E"/>
    <w:rsid w:val="00335B0A"/>
    <w:rsid w:val="00336711"/>
    <w:rsid w:val="0034640A"/>
    <w:rsid w:val="00347935"/>
    <w:rsid w:val="003509CC"/>
    <w:rsid w:val="00350DBD"/>
    <w:rsid w:val="00351927"/>
    <w:rsid w:val="00351B07"/>
    <w:rsid w:val="00352C1A"/>
    <w:rsid w:val="0036195E"/>
    <w:rsid w:val="0036268A"/>
    <w:rsid w:val="00362BE5"/>
    <w:rsid w:val="00364841"/>
    <w:rsid w:val="00370445"/>
    <w:rsid w:val="00371B29"/>
    <w:rsid w:val="00372182"/>
    <w:rsid w:val="003722DB"/>
    <w:rsid w:val="00372666"/>
    <w:rsid w:val="0037520F"/>
    <w:rsid w:val="00386BB5"/>
    <w:rsid w:val="00391769"/>
    <w:rsid w:val="003922A2"/>
    <w:rsid w:val="00394E49"/>
    <w:rsid w:val="003953E1"/>
    <w:rsid w:val="003956B3"/>
    <w:rsid w:val="003A68BE"/>
    <w:rsid w:val="003A7725"/>
    <w:rsid w:val="003B3C9D"/>
    <w:rsid w:val="003B78E0"/>
    <w:rsid w:val="003C1A53"/>
    <w:rsid w:val="003C26C7"/>
    <w:rsid w:val="003C4969"/>
    <w:rsid w:val="003E41D5"/>
    <w:rsid w:val="003E46BA"/>
    <w:rsid w:val="003E4BE1"/>
    <w:rsid w:val="003E7D22"/>
    <w:rsid w:val="003F3D8E"/>
    <w:rsid w:val="003F6108"/>
    <w:rsid w:val="003F74C1"/>
    <w:rsid w:val="00401903"/>
    <w:rsid w:val="00405B1A"/>
    <w:rsid w:val="00407241"/>
    <w:rsid w:val="0040761E"/>
    <w:rsid w:val="00407DF4"/>
    <w:rsid w:val="00410C76"/>
    <w:rsid w:val="00411907"/>
    <w:rsid w:val="00413CA8"/>
    <w:rsid w:val="004170C5"/>
    <w:rsid w:val="00417EE3"/>
    <w:rsid w:val="004207EB"/>
    <w:rsid w:val="00433D61"/>
    <w:rsid w:val="00435D35"/>
    <w:rsid w:val="00435FA5"/>
    <w:rsid w:val="00436B8D"/>
    <w:rsid w:val="00437276"/>
    <w:rsid w:val="00446777"/>
    <w:rsid w:val="00446CF7"/>
    <w:rsid w:val="00447C25"/>
    <w:rsid w:val="00447E67"/>
    <w:rsid w:val="004519D9"/>
    <w:rsid w:val="00451EC3"/>
    <w:rsid w:val="0045439F"/>
    <w:rsid w:val="0045556F"/>
    <w:rsid w:val="00456B54"/>
    <w:rsid w:val="00464643"/>
    <w:rsid w:val="004646F8"/>
    <w:rsid w:val="00475A4D"/>
    <w:rsid w:val="00477A81"/>
    <w:rsid w:val="00486793"/>
    <w:rsid w:val="0049729B"/>
    <w:rsid w:val="004A2037"/>
    <w:rsid w:val="004A3685"/>
    <w:rsid w:val="004B73A9"/>
    <w:rsid w:val="004C2CE7"/>
    <w:rsid w:val="004D30A6"/>
    <w:rsid w:val="004D6BBF"/>
    <w:rsid w:val="004E13B5"/>
    <w:rsid w:val="004F4F98"/>
    <w:rsid w:val="004F69F6"/>
    <w:rsid w:val="004F79AC"/>
    <w:rsid w:val="005017CF"/>
    <w:rsid w:val="005049CA"/>
    <w:rsid w:val="00506091"/>
    <w:rsid w:val="00507D4F"/>
    <w:rsid w:val="00512290"/>
    <w:rsid w:val="00513585"/>
    <w:rsid w:val="00516198"/>
    <w:rsid w:val="005207D8"/>
    <w:rsid w:val="00521F70"/>
    <w:rsid w:val="0052649E"/>
    <w:rsid w:val="00527B0F"/>
    <w:rsid w:val="005324ED"/>
    <w:rsid w:val="0053464E"/>
    <w:rsid w:val="005358B0"/>
    <w:rsid w:val="00540340"/>
    <w:rsid w:val="00541792"/>
    <w:rsid w:val="00553969"/>
    <w:rsid w:val="00562917"/>
    <w:rsid w:val="005837EA"/>
    <w:rsid w:val="00586228"/>
    <w:rsid w:val="0059227F"/>
    <w:rsid w:val="0059498B"/>
    <w:rsid w:val="005A349D"/>
    <w:rsid w:val="005A3A03"/>
    <w:rsid w:val="005A7B5A"/>
    <w:rsid w:val="005B01E7"/>
    <w:rsid w:val="005B2874"/>
    <w:rsid w:val="005B615C"/>
    <w:rsid w:val="005B6AF4"/>
    <w:rsid w:val="005C04CB"/>
    <w:rsid w:val="005C71BA"/>
    <w:rsid w:val="005D0943"/>
    <w:rsid w:val="005D16AD"/>
    <w:rsid w:val="005D56C8"/>
    <w:rsid w:val="005D72E1"/>
    <w:rsid w:val="005E1BEC"/>
    <w:rsid w:val="005E2F53"/>
    <w:rsid w:val="005E6E16"/>
    <w:rsid w:val="005F1841"/>
    <w:rsid w:val="005F400E"/>
    <w:rsid w:val="005F67E3"/>
    <w:rsid w:val="005F7342"/>
    <w:rsid w:val="00600A40"/>
    <w:rsid w:val="00600E4C"/>
    <w:rsid w:val="00603A08"/>
    <w:rsid w:val="006066BC"/>
    <w:rsid w:val="00606C88"/>
    <w:rsid w:val="00610A3C"/>
    <w:rsid w:val="006211CD"/>
    <w:rsid w:val="00626B82"/>
    <w:rsid w:val="00627F48"/>
    <w:rsid w:val="00633ACA"/>
    <w:rsid w:val="006342E0"/>
    <w:rsid w:val="00642327"/>
    <w:rsid w:val="00642A47"/>
    <w:rsid w:val="00642B8A"/>
    <w:rsid w:val="00646FDD"/>
    <w:rsid w:val="00663FCF"/>
    <w:rsid w:val="006652A2"/>
    <w:rsid w:val="006677AD"/>
    <w:rsid w:val="0067087A"/>
    <w:rsid w:val="00681754"/>
    <w:rsid w:val="00681D53"/>
    <w:rsid w:val="00683E69"/>
    <w:rsid w:val="00685269"/>
    <w:rsid w:val="006937FF"/>
    <w:rsid w:val="006965BF"/>
    <w:rsid w:val="006A48A7"/>
    <w:rsid w:val="006B4BA1"/>
    <w:rsid w:val="006C28E2"/>
    <w:rsid w:val="006C5CF5"/>
    <w:rsid w:val="006D335A"/>
    <w:rsid w:val="006E1FE1"/>
    <w:rsid w:val="006E37E1"/>
    <w:rsid w:val="006E527D"/>
    <w:rsid w:val="006F17A0"/>
    <w:rsid w:val="006F4A82"/>
    <w:rsid w:val="006F6FE1"/>
    <w:rsid w:val="00700239"/>
    <w:rsid w:val="0070207E"/>
    <w:rsid w:val="0070373B"/>
    <w:rsid w:val="00707E72"/>
    <w:rsid w:val="007113EB"/>
    <w:rsid w:val="00717878"/>
    <w:rsid w:val="0072150F"/>
    <w:rsid w:val="00724FA4"/>
    <w:rsid w:val="00726C2F"/>
    <w:rsid w:val="00730800"/>
    <w:rsid w:val="007368AB"/>
    <w:rsid w:val="00736B84"/>
    <w:rsid w:val="00737902"/>
    <w:rsid w:val="00741176"/>
    <w:rsid w:val="00741EFE"/>
    <w:rsid w:val="00752CDD"/>
    <w:rsid w:val="007602AA"/>
    <w:rsid w:val="007628B6"/>
    <w:rsid w:val="00763F5B"/>
    <w:rsid w:val="00764DEF"/>
    <w:rsid w:val="007652EF"/>
    <w:rsid w:val="00772BDC"/>
    <w:rsid w:val="00773033"/>
    <w:rsid w:val="00780792"/>
    <w:rsid w:val="00786EEE"/>
    <w:rsid w:val="00790E8B"/>
    <w:rsid w:val="007935AA"/>
    <w:rsid w:val="007A44B4"/>
    <w:rsid w:val="007A7D3D"/>
    <w:rsid w:val="007B225D"/>
    <w:rsid w:val="007C174F"/>
    <w:rsid w:val="007C1AFA"/>
    <w:rsid w:val="007C1C64"/>
    <w:rsid w:val="007C4DE6"/>
    <w:rsid w:val="007D40A1"/>
    <w:rsid w:val="007E0380"/>
    <w:rsid w:val="007E48BC"/>
    <w:rsid w:val="007E79F7"/>
    <w:rsid w:val="007F3630"/>
    <w:rsid w:val="00807559"/>
    <w:rsid w:val="00820535"/>
    <w:rsid w:val="00823155"/>
    <w:rsid w:val="00830CB1"/>
    <w:rsid w:val="008311DB"/>
    <w:rsid w:val="008450BC"/>
    <w:rsid w:val="00851A60"/>
    <w:rsid w:val="0085334B"/>
    <w:rsid w:val="008656EC"/>
    <w:rsid w:val="00867B23"/>
    <w:rsid w:val="00870214"/>
    <w:rsid w:val="00873078"/>
    <w:rsid w:val="00874453"/>
    <w:rsid w:val="00876515"/>
    <w:rsid w:val="008828D9"/>
    <w:rsid w:val="00885C51"/>
    <w:rsid w:val="00885EB0"/>
    <w:rsid w:val="0089264A"/>
    <w:rsid w:val="00892A5F"/>
    <w:rsid w:val="00896B85"/>
    <w:rsid w:val="00897554"/>
    <w:rsid w:val="008A22BE"/>
    <w:rsid w:val="008A3221"/>
    <w:rsid w:val="008A35FB"/>
    <w:rsid w:val="008B0075"/>
    <w:rsid w:val="008B5567"/>
    <w:rsid w:val="008C0E7A"/>
    <w:rsid w:val="008C1B36"/>
    <w:rsid w:val="008D06C6"/>
    <w:rsid w:val="008D32B4"/>
    <w:rsid w:val="008E0B69"/>
    <w:rsid w:val="008E2628"/>
    <w:rsid w:val="008E6250"/>
    <w:rsid w:val="00901EF6"/>
    <w:rsid w:val="00902AF6"/>
    <w:rsid w:val="00904928"/>
    <w:rsid w:val="00910E3A"/>
    <w:rsid w:val="00914030"/>
    <w:rsid w:val="00920249"/>
    <w:rsid w:val="009218F4"/>
    <w:rsid w:val="00923C61"/>
    <w:rsid w:val="00924C80"/>
    <w:rsid w:val="00932F14"/>
    <w:rsid w:val="0094247F"/>
    <w:rsid w:val="00942D60"/>
    <w:rsid w:val="00944BA4"/>
    <w:rsid w:val="009606B6"/>
    <w:rsid w:val="0096523B"/>
    <w:rsid w:val="00966EE3"/>
    <w:rsid w:val="00972D06"/>
    <w:rsid w:val="009748B2"/>
    <w:rsid w:val="00984642"/>
    <w:rsid w:val="009856F9"/>
    <w:rsid w:val="00994920"/>
    <w:rsid w:val="009A391C"/>
    <w:rsid w:val="009A50F2"/>
    <w:rsid w:val="009B187A"/>
    <w:rsid w:val="009B3C26"/>
    <w:rsid w:val="009C2D8E"/>
    <w:rsid w:val="009C4322"/>
    <w:rsid w:val="009C5DEB"/>
    <w:rsid w:val="009D2245"/>
    <w:rsid w:val="009D790B"/>
    <w:rsid w:val="009E0A61"/>
    <w:rsid w:val="009E3010"/>
    <w:rsid w:val="009F007E"/>
    <w:rsid w:val="009F1BCF"/>
    <w:rsid w:val="009F7065"/>
    <w:rsid w:val="00A006D9"/>
    <w:rsid w:val="00A12B44"/>
    <w:rsid w:val="00A22B2A"/>
    <w:rsid w:val="00A22C0B"/>
    <w:rsid w:val="00A32148"/>
    <w:rsid w:val="00A351DE"/>
    <w:rsid w:val="00A37433"/>
    <w:rsid w:val="00A37EC0"/>
    <w:rsid w:val="00A40193"/>
    <w:rsid w:val="00A4175D"/>
    <w:rsid w:val="00A469B2"/>
    <w:rsid w:val="00A51B78"/>
    <w:rsid w:val="00A54934"/>
    <w:rsid w:val="00A56DC7"/>
    <w:rsid w:val="00A56E34"/>
    <w:rsid w:val="00A72A1E"/>
    <w:rsid w:val="00A74FD1"/>
    <w:rsid w:val="00A77E6C"/>
    <w:rsid w:val="00A812B0"/>
    <w:rsid w:val="00A81D0E"/>
    <w:rsid w:val="00A84A58"/>
    <w:rsid w:val="00A91DF1"/>
    <w:rsid w:val="00AB0275"/>
    <w:rsid w:val="00AB0600"/>
    <w:rsid w:val="00AB2521"/>
    <w:rsid w:val="00AC74CB"/>
    <w:rsid w:val="00AD22F9"/>
    <w:rsid w:val="00AD3A2F"/>
    <w:rsid w:val="00AD7A3D"/>
    <w:rsid w:val="00AE1C16"/>
    <w:rsid w:val="00AE4E6E"/>
    <w:rsid w:val="00AE5EB1"/>
    <w:rsid w:val="00AE766D"/>
    <w:rsid w:val="00AF06FC"/>
    <w:rsid w:val="00AF3391"/>
    <w:rsid w:val="00AF387F"/>
    <w:rsid w:val="00AF602C"/>
    <w:rsid w:val="00B00E7F"/>
    <w:rsid w:val="00B01745"/>
    <w:rsid w:val="00B07009"/>
    <w:rsid w:val="00B173DA"/>
    <w:rsid w:val="00B20DA7"/>
    <w:rsid w:val="00B21DCC"/>
    <w:rsid w:val="00B24349"/>
    <w:rsid w:val="00B25F37"/>
    <w:rsid w:val="00B34AE6"/>
    <w:rsid w:val="00B402AA"/>
    <w:rsid w:val="00B413CF"/>
    <w:rsid w:val="00B44422"/>
    <w:rsid w:val="00B46EA0"/>
    <w:rsid w:val="00B51E03"/>
    <w:rsid w:val="00B65710"/>
    <w:rsid w:val="00B65D34"/>
    <w:rsid w:val="00B71F51"/>
    <w:rsid w:val="00B731D3"/>
    <w:rsid w:val="00B760D0"/>
    <w:rsid w:val="00B839A3"/>
    <w:rsid w:val="00B84530"/>
    <w:rsid w:val="00B853D2"/>
    <w:rsid w:val="00B902BD"/>
    <w:rsid w:val="00B9664B"/>
    <w:rsid w:val="00B9694C"/>
    <w:rsid w:val="00B96D3E"/>
    <w:rsid w:val="00BA24E2"/>
    <w:rsid w:val="00BB5930"/>
    <w:rsid w:val="00BC6932"/>
    <w:rsid w:val="00BD2A39"/>
    <w:rsid w:val="00BD2E80"/>
    <w:rsid w:val="00BD7906"/>
    <w:rsid w:val="00BE11B8"/>
    <w:rsid w:val="00BE2F20"/>
    <w:rsid w:val="00BE3818"/>
    <w:rsid w:val="00BE5363"/>
    <w:rsid w:val="00BF065C"/>
    <w:rsid w:val="00BF0B54"/>
    <w:rsid w:val="00BF23A7"/>
    <w:rsid w:val="00BF496F"/>
    <w:rsid w:val="00BF7FF0"/>
    <w:rsid w:val="00C02B0F"/>
    <w:rsid w:val="00C03BD4"/>
    <w:rsid w:val="00C12502"/>
    <w:rsid w:val="00C1266C"/>
    <w:rsid w:val="00C14FD2"/>
    <w:rsid w:val="00C221DF"/>
    <w:rsid w:val="00C23F68"/>
    <w:rsid w:val="00C24B09"/>
    <w:rsid w:val="00C25D82"/>
    <w:rsid w:val="00C27A3A"/>
    <w:rsid w:val="00C31E79"/>
    <w:rsid w:val="00C36578"/>
    <w:rsid w:val="00C40AA5"/>
    <w:rsid w:val="00C44145"/>
    <w:rsid w:val="00C46F70"/>
    <w:rsid w:val="00C476D0"/>
    <w:rsid w:val="00C5401F"/>
    <w:rsid w:val="00C56F71"/>
    <w:rsid w:val="00C63580"/>
    <w:rsid w:val="00C801F5"/>
    <w:rsid w:val="00C836E3"/>
    <w:rsid w:val="00C86577"/>
    <w:rsid w:val="00C92E07"/>
    <w:rsid w:val="00C94942"/>
    <w:rsid w:val="00C95A55"/>
    <w:rsid w:val="00C96868"/>
    <w:rsid w:val="00C96A50"/>
    <w:rsid w:val="00C97C71"/>
    <w:rsid w:val="00CA0416"/>
    <w:rsid w:val="00CA3C65"/>
    <w:rsid w:val="00CA7F35"/>
    <w:rsid w:val="00CB1375"/>
    <w:rsid w:val="00CB2A70"/>
    <w:rsid w:val="00CB3893"/>
    <w:rsid w:val="00CC36E7"/>
    <w:rsid w:val="00CC4B0A"/>
    <w:rsid w:val="00CC560B"/>
    <w:rsid w:val="00CC75E2"/>
    <w:rsid w:val="00CD46EB"/>
    <w:rsid w:val="00CD7EBF"/>
    <w:rsid w:val="00CE0AEB"/>
    <w:rsid w:val="00CE25C8"/>
    <w:rsid w:val="00CE2984"/>
    <w:rsid w:val="00D04529"/>
    <w:rsid w:val="00D056F1"/>
    <w:rsid w:val="00D062E4"/>
    <w:rsid w:val="00D11171"/>
    <w:rsid w:val="00D14405"/>
    <w:rsid w:val="00D2071E"/>
    <w:rsid w:val="00D209C9"/>
    <w:rsid w:val="00D22F3C"/>
    <w:rsid w:val="00D23DB6"/>
    <w:rsid w:val="00D26814"/>
    <w:rsid w:val="00D3171B"/>
    <w:rsid w:val="00D33F56"/>
    <w:rsid w:val="00D4007D"/>
    <w:rsid w:val="00D43FE6"/>
    <w:rsid w:val="00D458AC"/>
    <w:rsid w:val="00D513B6"/>
    <w:rsid w:val="00D51A95"/>
    <w:rsid w:val="00D56BA3"/>
    <w:rsid w:val="00D60568"/>
    <w:rsid w:val="00D64DE4"/>
    <w:rsid w:val="00D67254"/>
    <w:rsid w:val="00D676CF"/>
    <w:rsid w:val="00D70C7A"/>
    <w:rsid w:val="00D73931"/>
    <w:rsid w:val="00D81D38"/>
    <w:rsid w:val="00D8470F"/>
    <w:rsid w:val="00D8471A"/>
    <w:rsid w:val="00D8779F"/>
    <w:rsid w:val="00DA025E"/>
    <w:rsid w:val="00DA0627"/>
    <w:rsid w:val="00DA10A8"/>
    <w:rsid w:val="00DA258B"/>
    <w:rsid w:val="00DB1E08"/>
    <w:rsid w:val="00DB2973"/>
    <w:rsid w:val="00DB31D4"/>
    <w:rsid w:val="00DB324A"/>
    <w:rsid w:val="00DB7964"/>
    <w:rsid w:val="00DB7A08"/>
    <w:rsid w:val="00DC1B56"/>
    <w:rsid w:val="00DC2129"/>
    <w:rsid w:val="00DC3C72"/>
    <w:rsid w:val="00DC62DA"/>
    <w:rsid w:val="00DC6570"/>
    <w:rsid w:val="00DD20E6"/>
    <w:rsid w:val="00DD3C5E"/>
    <w:rsid w:val="00DD57EE"/>
    <w:rsid w:val="00DE76CC"/>
    <w:rsid w:val="00DE79AE"/>
    <w:rsid w:val="00DE79D9"/>
    <w:rsid w:val="00DF25C3"/>
    <w:rsid w:val="00DF28EE"/>
    <w:rsid w:val="00E04062"/>
    <w:rsid w:val="00E063C6"/>
    <w:rsid w:val="00E07743"/>
    <w:rsid w:val="00E2003B"/>
    <w:rsid w:val="00E203C2"/>
    <w:rsid w:val="00E24DE8"/>
    <w:rsid w:val="00E260BF"/>
    <w:rsid w:val="00E279D8"/>
    <w:rsid w:val="00E319B1"/>
    <w:rsid w:val="00E33B2F"/>
    <w:rsid w:val="00E40ED4"/>
    <w:rsid w:val="00E44E0D"/>
    <w:rsid w:val="00E477CC"/>
    <w:rsid w:val="00E520FE"/>
    <w:rsid w:val="00E5492F"/>
    <w:rsid w:val="00E62DEF"/>
    <w:rsid w:val="00E70A86"/>
    <w:rsid w:val="00E72650"/>
    <w:rsid w:val="00E73FB8"/>
    <w:rsid w:val="00E75054"/>
    <w:rsid w:val="00E751D6"/>
    <w:rsid w:val="00E777EC"/>
    <w:rsid w:val="00E80FCD"/>
    <w:rsid w:val="00E81F6E"/>
    <w:rsid w:val="00EA568B"/>
    <w:rsid w:val="00EA7F2F"/>
    <w:rsid w:val="00EB2D06"/>
    <w:rsid w:val="00EC00DE"/>
    <w:rsid w:val="00EC30E1"/>
    <w:rsid w:val="00ED0EBF"/>
    <w:rsid w:val="00ED172A"/>
    <w:rsid w:val="00EE0A23"/>
    <w:rsid w:val="00EE579E"/>
    <w:rsid w:val="00F0750B"/>
    <w:rsid w:val="00F11E5A"/>
    <w:rsid w:val="00F14BEC"/>
    <w:rsid w:val="00F225C5"/>
    <w:rsid w:val="00F23CC8"/>
    <w:rsid w:val="00F2587A"/>
    <w:rsid w:val="00F26785"/>
    <w:rsid w:val="00F300B2"/>
    <w:rsid w:val="00F33A4D"/>
    <w:rsid w:val="00F33BB8"/>
    <w:rsid w:val="00F367E7"/>
    <w:rsid w:val="00F3715D"/>
    <w:rsid w:val="00F37FEB"/>
    <w:rsid w:val="00F420C8"/>
    <w:rsid w:val="00F42937"/>
    <w:rsid w:val="00F42A4C"/>
    <w:rsid w:val="00F50D78"/>
    <w:rsid w:val="00F53B04"/>
    <w:rsid w:val="00F54161"/>
    <w:rsid w:val="00F604DE"/>
    <w:rsid w:val="00F64653"/>
    <w:rsid w:val="00F733F9"/>
    <w:rsid w:val="00F82BE4"/>
    <w:rsid w:val="00F95315"/>
    <w:rsid w:val="00FA5175"/>
    <w:rsid w:val="00FA5817"/>
    <w:rsid w:val="00FB1533"/>
    <w:rsid w:val="00FB2848"/>
    <w:rsid w:val="00FB67A3"/>
    <w:rsid w:val="00FB7512"/>
    <w:rsid w:val="00FD0971"/>
    <w:rsid w:val="00FD2FBE"/>
    <w:rsid w:val="00FD7547"/>
    <w:rsid w:val="00FE2CD3"/>
    <w:rsid w:val="00FF5F5C"/>
    <w:rsid w:val="00FF7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FE34B12"/>
  <w15:docId w15:val="{0C4D49BD-D27D-471E-9320-EFBAEC89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rsid w:val="00820535"/>
    <w:rPr>
      <w:sz w:val="20"/>
      <w:szCs w:val="20"/>
    </w:rPr>
  </w:style>
  <w:style w:type="character" w:customStyle="1" w:styleId="FootnoteTextChar">
    <w:name w:val="Footnote Text Char"/>
    <w:aliases w:val="Footnotes Text Char,FSFootnotes Text Char"/>
    <w:basedOn w:val="DefaultParagraphFont"/>
    <w:link w:val="FootnoteText"/>
    <w:rsid w:val="00820535"/>
    <w:rPr>
      <w:rFonts w:ascii="Arial" w:hAnsi="Arial"/>
      <w:lang w:eastAsia="en-US" w:bidi="en-US"/>
    </w:rPr>
  </w:style>
  <w:style w:type="paragraph" w:styleId="ListParagraph">
    <w:name w:val="List Paragraph"/>
    <w:basedOn w:val="Normal"/>
    <w:uiPriority w:val="34"/>
    <w:rsid w:val="007C1AFA"/>
    <w:pPr>
      <w:ind w:left="720"/>
      <w:contextualSpacing/>
    </w:pPr>
  </w:style>
  <w:style w:type="table" w:customStyle="1" w:styleId="TableGrid1">
    <w:name w:val="Table Grid1"/>
    <w:basedOn w:val="TableNormal"/>
    <w:next w:val="TableGrid"/>
    <w:uiPriority w:val="59"/>
    <w:rsid w:val="003E4BE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011178798">
      <w:bodyDiv w:val="1"/>
      <w:marLeft w:val="0"/>
      <w:marRight w:val="0"/>
      <w:marTop w:val="0"/>
      <w:marBottom w:val="0"/>
      <w:divBdr>
        <w:top w:val="none" w:sz="0" w:space="0" w:color="auto"/>
        <w:left w:val="none" w:sz="0" w:space="0" w:color="auto"/>
        <w:bottom w:val="none" w:sz="0" w:space="0" w:color="auto"/>
        <w:right w:val="none" w:sz="0" w:space="0" w:color="auto"/>
      </w:divBdr>
      <w:divsChild>
        <w:div w:id="1631285221">
          <w:marLeft w:val="0"/>
          <w:marRight w:val="0"/>
          <w:marTop w:val="0"/>
          <w:marBottom w:val="0"/>
          <w:divBdr>
            <w:top w:val="none" w:sz="0" w:space="0" w:color="auto"/>
            <w:left w:val="none" w:sz="0" w:space="0" w:color="auto"/>
            <w:bottom w:val="none" w:sz="0" w:space="0" w:color="auto"/>
            <w:right w:val="none" w:sz="0" w:space="0" w:color="auto"/>
          </w:divBdr>
          <w:divsChild>
            <w:div w:id="382221726">
              <w:marLeft w:val="0"/>
              <w:marRight w:val="0"/>
              <w:marTop w:val="0"/>
              <w:marBottom w:val="0"/>
              <w:divBdr>
                <w:top w:val="none" w:sz="0" w:space="0" w:color="auto"/>
                <w:left w:val="none" w:sz="0" w:space="0" w:color="auto"/>
                <w:bottom w:val="none" w:sz="0" w:space="0" w:color="auto"/>
                <w:right w:val="none" w:sz="0" w:space="0" w:color="auto"/>
              </w:divBdr>
              <w:divsChild>
                <w:div w:id="304354446">
                  <w:marLeft w:val="0"/>
                  <w:marRight w:val="0"/>
                  <w:marTop w:val="0"/>
                  <w:marBottom w:val="0"/>
                  <w:divBdr>
                    <w:top w:val="none" w:sz="0" w:space="0" w:color="auto"/>
                    <w:left w:val="none" w:sz="0" w:space="0" w:color="auto"/>
                    <w:bottom w:val="none" w:sz="0" w:space="0" w:color="auto"/>
                    <w:right w:val="none" w:sz="0" w:space="0" w:color="auto"/>
                  </w:divBdr>
                  <w:divsChild>
                    <w:div w:id="1917812265">
                      <w:marLeft w:val="1"/>
                      <w:marRight w:val="1"/>
                      <w:marTop w:val="0"/>
                      <w:marBottom w:val="0"/>
                      <w:divBdr>
                        <w:top w:val="none" w:sz="0" w:space="0" w:color="auto"/>
                        <w:left w:val="none" w:sz="0" w:space="0" w:color="auto"/>
                        <w:bottom w:val="none" w:sz="0" w:space="0" w:color="auto"/>
                        <w:right w:val="none" w:sz="0" w:space="0" w:color="auto"/>
                      </w:divBdr>
                      <w:divsChild>
                        <w:div w:id="1619754743">
                          <w:marLeft w:val="0"/>
                          <w:marRight w:val="0"/>
                          <w:marTop w:val="0"/>
                          <w:marBottom w:val="0"/>
                          <w:divBdr>
                            <w:top w:val="none" w:sz="0" w:space="0" w:color="auto"/>
                            <w:left w:val="none" w:sz="0" w:space="0" w:color="auto"/>
                            <w:bottom w:val="none" w:sz="0" w:space="0" w:color="auto"/>
                            <w:right w:val="none" w:sz="0" w:space="0" w:color="auto"/>
                          </w:divBdr>
                          <w:divsChild>
                            <w:div w:id="2063826421">
                              <w:marLeft w:val="0"/>
                              <w:marRight w:val="0"/>
                              <w:marTop w:val="0"/>
                              <w:marBottom w:val="360"/>
                              <w:divBdr>
                                <w:top w:val="none" w:sz="0" w:space="0" w:color="auto"/>
                                <w:left w:val="none" w:sz="0" w:space="0" w:color="auto"/>
                                <w:bottom w:val="none" w:sz="0" w:space="0" w:color="auto"/>
                                <w:right w:val="none" w:sz="0" w:space="0" w:color="auto"/>
                              </w:divBdr>
                              <w:divsChild>
                                <w:div w:id="302660725">
                                  <w:marLeft w:val="0"/>
                                  <w:marRight w:val="0"/>
                                  <w:marTop w:val="0"/>
                                  <w:marBottom w:val="0"/>
                                  <w:divBdr>
                                    <w:top w:val="none" w:sz="0" w:space="0" w:color="auto"/>
                                    <w:left w:val="none" w:sz="0" w:space="0" w:color="auto"/>
                                    <w:bottom w:val="none" w:sz="0" w:space="0" w:color="auto"/>
                                    <w:right w:val="none" w:sz="0" w:space="0" w:color="auto"/>
                                  </w:divBdr>
                                  <w:divsChild>
                                    <w:div w:id="814371980">
                                      <w:marLeft w:val="0"/>
                                      <w:marRight w:val="0"/>
                                      <w:marTop w:val="0"/>
                                      <w:marBottom w:val="0"/>
                                      <w:divBdr>
                                        <w:top w:val="none" w:sz="0" w:space="0" w:color="auto"/>
                                        <w:left w:val="none" w:sz="0" w:space="0" w:color="auto"/>
                                        <w:bottom w:val="none" w:sz="0" w:space="0" w:color="auto"/>
                                        <w:right w:val="none" w:sz="0" w:space="0" w:color="auto"/>
                                      </w:divBdr>
                                      <w:divsChild>
                                        <w:div w:id="672339894">
                                          <w:marLeft w:val="0"/>
                                          <w:marRight w:val="0"/>
                                          <w:marTop w:val="0"/>
                                          <w:marBottom w:val="0"/>
                                          <w:divBdr>
                                            <w:top w:val="none" w:sz="0" w:space="0" w:color="auto"/>
                                            <w:left w:val="none" w:sz="0" w:space="0" w:color="auto"/>
                                            <w:bottom w:val="none" w:sz="0" w:space="0" w:color="auto"/>
                                            <w:right w:val="none" w:sz="0" w:space="0" w:color="auto"/>
                                          </w:divBdr>
                                          <w:divsChild>
                                            <w:div w:id="1989898659">
                                              <w:marLeft w:val="0"/>
                                              <w:marRight w:val="0"/>
                                              <w:marTop w:val="0"/>
                                              <w:marBottom w:val="0"/>
                                              <w:divBdr>
                                                <w:top w:val="none" w:sz="0" w:space="0" w:color="auto"/>
                                                <w:left w:val="none" w:sz="0" w:space="0" w:color="auto"/>
                                                <w:bottom w:val="none" w:sz="0" w:space="0" w:color="auto"/>
                                                <w:right w:val="none" w:sz="0" w:space="0" w:color="auto"/>
                                              </w:divBdr>
                                              <w:divsChild>
                                                <w:div w:id="11746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6240310">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s://admin-www.foodstandards.gov.au/code/applications/Pages/applicationa540stevi3096.aspx" TargetMode="External"/><Relationship Id="rId3" Type="http://schemas.openxmlformats.org/officeDocument/2006/relationships/customXml" Target="../customXml/item3.xml"/><Relationship Id="rId21" Type="http://schemas.openxmlformats.org/officeDocument/2006/relationships/hyperlink" Target="hhttps://eur-lex.europa.eu/legal-content/EN/TXT/PDF/?uri=CELEX:32016R1814&amp;from=EN"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dmin-www.foodstandards.gov.au/code/changes/Pages/Documents-for-public-comment.aspx" TargetMode="External"/><Relationship Id="rId25" Type="http://schemas.openxmlformats.org/officeDocument/2006/relationships/hyperlink" Target="http://whqlibdoc.who.int/publications/2009/9789241660600_eng.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dmin-www.foodstandards.gov.au/code/changes/submission/Pages/default.aspx" TargetMode="External"/><Relationship Id="rId20" Type="http://schemas.openxmlformats.org/officeDocument/2006/relationships/hyperlink" Target="http://foodregulation.gov.au/internet/fr/publishing.nsf/Content/publication-Policy-Guideline-on-the-Addition-of-Substances-other-than-Vitamins-and-Minerals" TargetMode="External"/><Relationship Id="rId29" Type="http://schemas.openxmlformats.org/officeDocument/2006/relationships/hyperlink" Target="http://www.inspection.gc.ca/food/labelling/food-labelling-for-industry/food-additives/permitted-synonyms/steviol-glycosides/eng/1381503229765/1381503318607"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google.com/url?sa=t&amp;rct=j&amp;q=&amp;esrc=s&amp;source=web&amp;cd=1&amp;cad=rja&amp;uact=8&amp;ved=2ahUKEwibsbz4_8DdAhUJVLwKHfaMDSUQFjAAegQIABAC&amp;url=http%3A%2F%2Fwww.fao.org%2F3%2Fa-i8147e.pdf&amp;usg=AOvVaw1nSeEUsbvO4kuWHG33ieib" TargetMode="External"/><Relationship Id="rId32" Type="http://schemas.openxmlformats.org/officeDocument/2006/relationships/footer" Target="footer1.xml"/><Relationship Id="rId36" Type="http://schemas.openxmlformats.org/officeDocument/2006/relationships/theme" Target="theme/theme1.xml"/><Relationship Id="rId15" Type="http://schemas.openxmlformats.org/officeDocument/2006/relationships/hyperlink" Target="https://admin-www.foodstandards.gov.au/code/changes/submission/Pages/default.aspx" TargetMode="External"/><Relationship Id="rId23" Type="http://schemas.openxmlformats.org/officeDocument/2006/relationships/hyperlink" Target="http://www.fao.org/gsfaonline/index.html" TargetMode="External"/><Relationship Id="rId28" Type="http://schemas.openxmlformats.org/officeDocument/2006/relationships/hyperlink" Target="https://www.canada.ca/en/health-canada/services/food-nutrition/food-safety/food-additives/lists-permitted/9-sweeteners.html"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image" Target="media/image2.png"/><Relationship Id="rId35"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google.com/url?sa=t&amp;rct=j&amp;q=&amp;esrc=s&amp;source=web&amp;cd=1&amp;cad=rja&amp;uact=8&amp;ved=2ahUKEwjOwrejqq_dAhURd94KHTPLA6YQFjAAegQIARAC&amp;url=https%3A%2F%2Feur-lex.europa.eu%2FLexUriServ%2FLexUriServ.do%3Furi%3DOJ%3AL%3A2011%3A295%3A0205%3A0211%3AEN%3APDF&amp;usg=AOvVaw1xPTwTlm3b3lEQxqtfMbzW" TargetMode="External"/><Relationship Id="rId27" Type="http://schemas.openxmlformats.org/officeDocument/2006/relationships/hyperlink" Target="http://laws-lois.justice.gc.ca/eng/regulations/SOR-2012-210/page-1.html" TargetMode="External"/><Relationship Id="rId30" Type="http://schemas.openxmlformats.org/officeDocument/2006/relationships/hyperlink" Target="https://www.fda.gov/aboutfda/transparency/basics/ucm194320.htm" TargetMode="Externa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10C58-B46C-416A-9356-17E8EC0BDF7B}"/>
</file>

<file path=customXml/itemProps2.xml><?xml version="1.0" encoding="utf-8"?>
<ds:datastoreItem xmlns:ds="http://schemas.openxmlformats.org/officeDocument/2006/customXml" ds:itemID="{C6DC84AE-60E3-40D9-BC94-2AF9082F7E71}"/>
</file>

<file path=customXml/itemProps3.xml><?xml version="1.0" encoding="utf-8"?>
<ds:datastoreItem xmlns:ds="http://schemas.openxmlformats.org/officeDocument/2006/customXml" ds:itemID="{24CD1A1A-013E-4DA7-BED8-B4A3F32D090C}"/>
</file>

<file path=customXml/itemProps4.xml><?xml version="1.0" encoding="utf-8"?>
<ds:datastoreItem xmlns:ds="http://schemas.openxmlformats.org/officeDocument/2006/customXml" ds:itemID="{C37DA336-C39E-4248-BC11-1EDB4CB76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692E28-D669-4D56-B4F3-AB467F2908E3}">
  <ds:schemaRefs>
    <ds:schemaRef ds:uri="Microsoft.SharePoint.Taxonomy.ContentTypeSync"/>
  </ds:schemaRefs>
</ds:datastoreItem>
</file>

<file path=customXml/itemProps6.xml><?xml version="1.0" encoding="utf-8"?>
<ds:datastoreItem xmlns:ds="http://schemas.openxmlformats.org/officeDocument/2006/customXml" ds:itemID="{4F87702D-4BAF-4001-BA83-288C6F161F8E}"/>
</file>

<file path=customXml/itemProps7.xml><?xml version="1.0" encoding="utf-8"?>
<ds:datastoreItem xmlns:ds="http://schemas.openxmlformats.org/officeDocument/2006/customXml" ds:itemID="{4A4C8E2D-50ED-43F7-8DF0-15614EA0BC2B}"/>
</file>

<file path=docProps/app.xml><?xml version="1.0" encoding="utf-8"?>
<Properties xmlns="http://schemas.openxmlformats.org/officeDocument/2006/extended-properties" xmlns:vt="http://schemas.openxmlformats.org/officeDocument/2006/docPropsVTypes">
  <Template>Normal</Template>
  <TotalTime>3213</TotalTime>
  <Pages>14</Pages>
  <Words>5345</Words>
  <Characters>30471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35745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ronals</dc:creator>
  <cp:keywords/>
  <cp:lastModifiedBy>Christine Coughlan</cp:lastModifiedBy>
  <cp:revision>149</cp:revision>
  <cp:lastPrinted>2018-10-03T02:24:00Z</cp:lastPrinted>
  <dcterms:created xsi:type="dcterms:W3CDTF">2018-07-23T02:40:00Z</dcterms:created>
  <dcterms:modified xsi:type="dcterms:W3CDTF">2018-10-03T03:54:00Z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6068e0a0-4c3c-4d55-b45d-b77707ba5169</vt:lpwstr>
  </property>
  <property fmtid="{D5CDD505-2E9C-101B-9397-08002B2CF9AE}" pid="4" name="bjSaver">
    <vt:lpwstr>F7CJ7+j1H4mVV8c3pro2WrI4n/XQdguU</vt:lpwstr>
  </property>
  <property fmtid="{D5CDD505-2E9C-101B-9397-08002B2CF9AE}" pid="5" name="ContentTypeId">
    <vt:lpwstr>0x010100CB2FFA9FD6109347A9495CD5860AFAE6</vt:lpwstr>
  </property>
  <property fmtid="{D5CDD505-2E9C-101B-9397-08002B2CF9AE}" pid="6" name="_dlc_DocIdItemGuid">
    <vt:lpwstr>a6f6312b-d16f-443d-9cee-5fc6c1f33f61</vt:lpwstr>
  </property>
  <property fmtid="{D5CDD505-2E9C-101B-9397-08002B2CF9AE}" pid="7" name="DisposalClass">
    <vt:lpwstr/>
  </property>
  <property fmtid="{D5CDD505-2E9C-101B-9397-08002B2CF9AE}" pid="8" name="BCS_">
    <vt:lpwstr>40;#Evaluation|43bd8487-b9f6-4055-946c-a118d364275d</vt:lpwstr>
  </property>
  <property fmtid="{D5CDD505-2E9C-101B-9397-08002B2CF9AE}" pid="9" name="RecordPoint_WorkflowType">
    <vt:lpwstr>ActiveSubmitStub</vt:lpwstr>
  </property>
  <property fmtid="{D5CDD505-2E9C-101B-9397-08002B2CF9AE}" pid="10" name="RecordPoint_ActiveItemUniqueId">
    <vt:lpwstr>{21fb103d-7504-4206-85c2-095889a0cbba}</vt:lpwstr>
  </property>
  <property fmtid="{D5CDD505-2E9C-101B-9397-08002B2CF9AE}" pid="11" name="RecordPoint_ActiveItemWebId">
    <vt:lpwstr>{9b4cf00b-add5-48e2-8d15-4da8c0c45f79}</vt:lpwstr>
  </property>
  <property fmtid="{D5CDD505-2E9C-101B-9397-08002B2CF9AE}" pid="12" name="RecordPoint_ActiveItemSiteId">
    <vt:lpwstr>{dd95a578-5c6a-4f11-92f7-f95884d628d6}</vt:lpwstr>
  </property>
  <property fmtid="{D5CDD505-2E9C-101B-9397-08002B2CF9AE}" pid="13" name="RecordPoint_ActiveItemListId">
    <vt:lpwstr>{23e0d86c-2101-41f4-9113-3cacf4475a2e}</vt:lpwstr>
  </property>
  <property fmtid="{D5CDD505-2E9C-101B-9397-08002B2CF9AE}" pid="14" name="RecordPoint_RecordNumberSubmitted">
    <vt:lpwstr>R0000098677</vt:lpwstr>
  </property>
  <property fmtid="{D5CDD505-2E9C-101B-9397-08002B2CF9AE}" pid="15" name="RecordPoint_SubmissionCompleted">
    <vt:lpwstr>2018-09-24T14:45:11.6938732+10:00</vt:lpwstr>
  </property>
  <property fmtid="{D5CDD505-2E9C-101B-9397-08002B2CF9AE}" pid="16"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7" name="bjDocumentLabelXML-0">
    <vt:lpwstr>ames.com/2008/01/sie/internal/label"&gt;&lt;element uid="a68a5297-83bb-4ba8-a7cd-4b62d6981a77" value="" /&gt;&lt;/sisl&gt;</vt:lpwstr>
  </property>
  <property fmtid="{D5CDD505-2E9C-101B-9397-08002B2CF9AE}" pid="18" name="bjDocumentSecurityLabel">
    <vt:lpwstr>NO SECURITY CLASSIFICATION REQUIRED</vt:lpwstr>
  </property>
</Properties>
</file>